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Conduct Rules Quiz</w:t>
      </w:r>
    </w:p>
    <w:p>
      <w:pPr>
        <w:keepNext w:val="false"/>
        <w:keepLines/>
        <w:spacing w:after="200" w:before="0"/>
      </w:pPr>
      <w:r>
        <w:rPr>
          <w:b/>
          <w:bCs/>
          <w:color w:val="306BEA"/>
        </w:rPr>
        <w:t xml:space="preserve">SMCR Quiz Series from SMF Capital</w:t>
      </w:r>
    </w:p>
    <w:p>
      <w:pPr>
        <w:keepNext w:val="false"/>
        <w:keepLines/>
        <w:spacing w:after="120" w:before="0"/>
      </w:pPr>
      <w:r>
        <w:rPr>
          <w:color w:val="59687E"/>
        </w:rPr>
        <w:t xml:space="preserve">Answer each question, then turn to the answer page at the end. The questions are a learning aid based on the FCA rules as we understand them, including the April 2026 changes to the Senior Managers and Certification Regime. They are not an official FCA test and are not legal advice.</w:t>
      </w:r>
    </w:p>
    <w:p>
      <w:pPr>
        <w:spacing w:after="200"/>
      </w:pPr>
      <w:r>
        <w:rPr>
          <w:color w:val="59687E"/>
        </w:rPr>
        <w:t xml:space="preserve">Online version with explanations: </w:t>
      </w:r>
      <w:hyperlink w:history="1" r:id="rId3yhmgjfv4xs2sxpcongvn">
        <w:r>
          <w:rPr>
            <w:rStyle w:val="Hyperlink"/>
          </w:rPr>
          <w:t xml:space="preserve">smfcapital.co.uk/conduct-rules-scenarios-practice-questions/</w:t>
        </w:r>
      </w:hyperlink>
    </w:p>
    <w:p>
      <w:pPr>
        <w:keepNext w:val="false"/>
        <w:keepLines/>
        <w:spacing w:after="240" w:before="0"/>
      </w:pPr>
      <w:r>
        <w:t xml:space="preserve">Name: ______________________________     Date: ______________     Score: ______</w:t>
      </w:r>
    </w:p>
    <w:p>
      <w:pPr>
        <w:pStyle w:val="Heading1"/>
      </w:pPr>
      <w:r>
        <w:t xml:space="preserve">Who Is Covered?</w:t>
      </w:r>
    </w:p>
    <w:p>
      <w:pPr>
        <w:keepNext/>
        <w:keepLines/>
        <w:spacing w:after="80" w:before="160"/>
      </w:pPr>
      <w:r>
        <w:rPr>
          <w:b/>
          <w:bCs/>
          <w:color w:val="306BEA"/>
        </w:rPr>
        <w:t xml:space="preserve">1. </w:t>
      </w:r>
      <w:r>
        <w:rPr>
          <w:b/>
          <w:bCs/>
          <w:color w:val="071C3C"/>
        </w:rPr>
        <w:t xml:space="preserve">Marcus works on the front desk of a general insurer, greeting visitors and taking deliveries. Is he subject to the conduct rules?</w:t>
      </w:r>
    </w:p>
    <w:p>
      <w:pPr>
        <w:keepNext w:val="false"/>
        <w:keepLines/>
        <w:spacing w:after="120" w:before="0"/>
      </w:pPr>
      <w:r>
        <w:rPr>
          <w:color w:val="59687E"/>
        </w:rPr>
        <w:t xml:space="preserve">Your answer: ________________________________________________</w:t>
      </w:r>
    </w:p>
    <w:p>
      <w:pPr>
        <w:keepNext/>
        <w:keepLines/>
        <w:spacing w:after="80" w:before="160"/>
      </w:pPr>
      <w:r>
        <w:rPr>
          <w:b/>
          <w:bCs/>
          <w:color w:val="306BEA"/>
        </w:rPr>
        <w:t xml:space="preserve">2. </w:t>
      </w:r>
      <w:r>
        <w:rPr>
          <w:b/>
          <w:bCs/>
          <w:color w:val="071C3C"/>
        </w:rPr>
        <w:t xml:space="preserve">Aisha handles motor claims at the same insurer and has no senior role. Is she covered?</w:t>
      </w:r>
    </w:p>
    <w:p>
      <w:pPr>
        <w:keepNext w:val="false"/>
        <w:keepLines/>
        <w:spacing w:after="120" w:before="0"/>
      </w:pPr>
      <w:r>
        <w:rPr>
          <w:color w:val="59687E"/>
        </w:rPr>
        <w:t xml:space="preserve">Your answer: ________________________________________________</w:t>
      </w:r>
    </w:p>
    <w:p>
      <w:pPr>
        <w:keepNext/>
        <w:keepLines/>
        <w:spacing w:after="80" w:before="160"/>
      </w:pPr>
      <w:r>
        <w:rPr>
          <w:b/>
          <w:bCs/>
          <w:color w:val="306BEA"/>
        </w:rPr>
        <w:t xml:space="preserve">3. </w:t>
      </w:r>
      <w:r>
        <w:rPr>
          <w:b/>
          <w:bCs/>
          <w:color w:val="071C3C"/>
        </w:rPr>
        <w:t xml:space="preserve">Ben works at a small solo-regulated mortgage broker. He doesn't hold a senior management function and isn't certified. Do the Senior Manager Conduct Rules apply to him?</w:t>
      </w:r>
    </w:p>
    <w:p>
      <w:pPr>
        <w:keepNext w:val="false"/>
        <w:keepLines/>
        <w:spacing w:after="120" w:before="0"/>
      </w:pPr>
      <w:r>
        <w:rPr>
          <w:color w:val="59687E"/>
        </w:rPr>
        <w:t xml:space="preserve">Your answer: ________________________________________________</w:t>
      </w:r>
    </w:p>
    <w:p>
      <w:pPr>
        <w:keepNext/>
        <w:keepLines/>
        <w:spacing w:after="80" w:before="160"/>
      </w:pPr>
      <w:r>
        <w:rPr>
          <w:b/>
          <w:bCs/>
          <w:color w:val="306BEA"/>
        </w:rPr>
        <w:t xml:space="preserve">4. </w:t>
      </w:r>
      <w:r>
        <w:rPr>
          <w:b/>
          <w:bCs/>
          <w:color w:val="071C3C"/>
        </w:rPr>
        <w:t xml:space="preserve">Priya is an independent non-executive director on the board of an investment firm. She doesn't chair the board or any committee. Which rules apply to her?</w:t>
      </w:r>
    </w:p>
    <w:p>
      <w:pPr>
        <w:keepNext w:val="false"/>
        <w:keepLines/>
        <w:spacing w:after="120" w:before="0"/>
      </w:pPr>
      <w:r>
        <w:rPr>
          <w:color w:val="59687E"/>
        </w:rPr>
        <w:t xml:space="preserve">Your answer: ________________________________________________</w:t>
      </w:r>
    </w:p>
    <w:p>
      <w:pPr>
        <w:keepNext/>
        <w:keepLines/>
        <w:spacing w:after="80" w:before="160"/>
      </w:pPr>
      <w:r>
        <w:rPr>
          <w:b/>
          <w:bCs/>
          <w:color w:val="306BEA"/>
        </w:rPr>
        <w:t xml:space="preserve">5. </w:t>
      </w:r>
      <w:r>
        <w:rPr>
          <w:b/>
          <w:bCs/>
          <w:color w:val="071C3C"/>
        </w:rPr>
        <w:t xml:space="preserve">Tom, an IT helpdesk analyst, resets passwords. His colleague Jo, a developer, writes the code that calculates customer charges. Are either covered?</w:t>
      </w:r>
    </w:p>
    <w:p>
      <w:pPr>
        <w:keepNext w:val="false"/>
        <w:keepLines/>
        <w:spacing w:after="120" w:before="0"/>
      </w:pPr>
      <w:r>
        <w:rPr>
          <w:color w:val="59687E"/>
        </w:rPr>
        <w:t xml:space="preserve">Your answer: ________________________________________________</w:t>
      </w:r>
    </w:p>
    <w:p>
      <w:pPr>
        <w:keepNext/>
        <w:keepLines/>
        <w:spacing w:after="80" w:before="160"/>
      </w:pPr>
      <w:r>
        <w:rPr>
          <w:b/>
          <w:bCs/>
          <w:color w:val="306BEA"/>
        </w:rPr>
        <w:t xml:space="preserve">6. </w:t>
      </w:r>
      <w:r>
        <w:rPr>
          <w:b/>
          <w:bCs/>
          <w:color w:val="071C3C"/>
        </w:rPr>
        <w:t xml:space="preserve">The compliance officer at an investment firm leaves suddenly, and Grace steps in to cover the role for six weeks while a replacement is approved. Do the Senior Manager Conduct Rules apply to her?</w:t>
      </w:r>
    </w:p>
    <w:p>
      <w:pPr>
        <w:keepNext w:val="false"/>
        <w:keepLines/>
        <w:spacing w:after="120" w:before="0"/>
      </w:pPr>
      <w:r>
        <w:rPr>
          <w:color w:val="59687E"/>
        </w:rPr>
        <w:t xml:space="preserve">Your answer: ________________________________________________</w:t>
      </w:r>
    </w:p>
    <w:p>
      <w:pPr>
        <w:pStyle w:val="Heading1"/>
      </w:pPr>
      <w:r>
        <w:t xml:space="preserve">Which Rule Has Been Breached?</w:t>
      </w:r>
    </w:p>
    <w:p>
      <w:pPr>
        <w:keepNext/>
        <w:keepLines/>
        <w:spacing w:after="80" w:before="160"/>
      </w:pPr>
      <w:r>
        <w:rPr>
          <w:b/>
          <w:bCs/>
          <w:color w:val="306BEA"/>
        </w:rPr>
        <w:t xml:space="preserve">7. </w:t>
      </w:r>
      <w:r>
        <w:rPr>
          <w:b/>
          <w:bCs/>
          <w:color w:val="071C3C"/>
        </w:rPr>
        <w:t xml:space="preserve">Sam, a financial adviser, backdates a suitability report so a file looks complete before an audit. Which rule?</w:t>
      </w:r>
    </w:p>
    <w:p>
      <w:pPr>
        <w:keepNext w:val="false"/>
        <w:keepLines/>
        <w:spacing w:after="120" w:before="0"/>
      </w:pPr>
      <w:r>
        <w:rPr>
          <w:color w:val="59687E"/>
        </w:rPr>
        <w:t xml:space="preserve">Your answer: ________________________________________________</w:t>
      </w:r>
    </w:p>
    <w:p>
      <w:pPr>
        <w:keepNext/>
        <w:keepLines/>
        <w:spacing w:after="80" w:before="160"/>
      </w:pPr>
      <w:r>
        <w:rPr>
          <w:b/>
          <w:bCs/>
          <w:color w:val="306BEA"/>
        </w:rPr>
        <w:t xml:space="preserve">8. </w:t>
      </w:r>
      <w:r>
        <w:rPr>
          <w:b/>
          <w:bCs/>
          <w:color w:val="071C3C"/>
        </w:rPr>
        <w:t xml:space="preserve">During an FCA supervisory visit, Leah, a team leader, is asked whether her team has had any complaints about a product. She knows of several but says there have been none. Which rule?</w:t>
      </w:r>
    </w:p>
    <w:p>
      <w:pPr>
        <w:keepNext w:val="false"/>
        <w:keepLines/>
        <w:spacing w:after="120" w:before="0"/>
      </w:pPr>
      <w:r>
        <w:rPr>
          <w:color w:val="59687E"/>
        </w:rPr>
        <w:t xml:space="preserve">Your answer: ________________________________________________</w:t>
      </w:r>
    </w:p>
    <w:p>
      <w:pPr>
        <w:keepNext/>
        <w:keepLines/>
        <w:spacing w:after="80" w:before="160"/>
      </w:pPr>
      <w:r>
        <w:rPr>
          <w:b/>
          <w:bCs/>
          <w:color w:val="306BEA"/>
        </w:rPr>
        <w:t xml:space="preserve">9. </w:t>
      </w:r>
      <w:r>
        <w:rPr>
          <w:b/>
          <w:bCs/>
          <w:color w:val="071C3C"/>
        </w:rPr>
        <w:t xml:space="preserve">Ravi, a bond trader, tells a friend at another firm about a large client order before it is executed. Which rule?</w:t>
      </w:r>
    </w:p>
    <w:p>
      <w:pPr>
        <w:keepNext w:val="false"/>
        <w:keepLines/>
        <w:spacing w:after="120" w:before="0"/>
      </w:pPr>
      <w:r>
        <w:rPr>
          <w:color w:val="59687E"/>
        </w:rPr>
        <w:t xml:space="preserve">Your answer: ________________________________________________</w:t>
      </w:r>
    </w:p>
    <w:p>
      <w:pPr>
        <w:keepNext/>
        <w:keepLines/>
        <w:spacing w:after="80" w:before="160"/>
      </w:pPr>
      <w:r>
        <w:rPr>
          <w:b/>
          <w:bCs/>
          <w:color w:val="306BEA"/>
        </w:rPr>
        <w:t xml:space="preserve">10. </w:t>
      </w:r>
      <w:r>
        <w:rPr>
          <w:b/>
          <w:bCs/>
          <w:color w:val="071C3C"/>
        </w:rPr>
        <w:t xml:space="preserve">Ellie, a finance analyst, reuses last quarter's reconciliation for a regulatory return without checking the figures. They turn out to be wrong. Which rule?</w:t>
      </w:r>
    </w:p>
    <w:p>
      <w:pPr>
        <w:keepNext w:val="false"/>
        <w:keepLines/>
        <w:spacing w:after="120" w:before="0"/>
      </w:pPr>
      <w:r>
        <w:rPr>
          <w:color w:val="59687E"/>
        </w:rPr>
        <w:t xml:space="preserve">Your answer: ________________________________________________</w:t>
      </w:r>
    </w:p>
    <w:p>
      <w:pPr>
        <w:keepNext/>
        <w:keepLines/>
        <w:spacing w:after="80" w:before="160"/>
      </w:pPr>
      <w:r>
        <w:rPr>
          <w:b/>
          <w:bCs/>
          <w:color w:val="306BEA"/>
        </w:rPr>
        <w:t xml:space="preserve">11. </w:t>
      </w:r>
      <w:r>
        <w:rPr>
          <w:b/>
          <w:bCs/>
          <w:color w:val="071C3C"/>
        </w:rPr>
        <w:t xml:space="preserve">Dev arranges commercial insurance for large corporate clients only. He fails to pass on a policy exclusion that matters to one client. Which rule?</w:t>
      </w:r>
    </w:p>
    <w:p>
      <w:pPr>
        <w:keepNext w:val="false"/>
        <w:keepLines/>
        <w:spacing w:after="120" w:before="0"/>
      </w:pPr>
      <w:r>
        <w:rPr>
          <w:color w:val="59687E"/>
        </w:rPr>
        <w:t xml:space="preserve">Your answer: ________________________________________________</w:t>
      </w:r>
    </w:p>
    <w:p>
      <w:pPr>
        <w:pStyle w:val="Heading1"/>
      </w:pPr>
      <w:r>
        <w:t xml:space="preserve">Senior Manager Conduct Rules</w:t>
      </w:r>
    </w:p>
    <w:p>
      <w:pPr>
        <w:keepNext/>
        <w:keepLines/>
        <w:spacing w:after="80" w:before="160"/>
      </w:pPr>
      <w:r>
        <w:rPr>
          <w:b/>
          <w:bCs/>
          <w:color w:val="306BEA"/>
        </w:rPr>
        <w:t xml:space="preserve">12. </w:t>
      </w:r>
      <w:r>
        <w:rPr>
          <w:b/>
          <w:bCs/>
          <w:color w:val="071C3C"/>
        </w:rPr>
        <w:t xml:space="preserve">Olivia, the SMF approved for operations, hands reconciliation sign-off to a new junior employee and never checks how it is going. Errors build up over months. Which rule?</w:t>
      </w:r>
    </w:p>
    <w:p>
      <w:pPr>
        <w:keepNext w:val="false"/>
        <w:keepLines/>
        <w:spacing w:after="120" w:before="0"/>
      </w:pPr>
      <w:r>
        <w:rPr>
          <w:color w:val="59687E"/>
        </w:rPr>
        <w:t xml:space="preserve">Your answer: ________________________________________________</w:t>
      </w:r>
    </w:p>
    <w:p>
      <w:pPr>
        <w:keepNext/>
        <w:keepLines/>
        <w:spacing w:after="80" w:before="160"/>
      </w:pPr>
      <w:r>
        <w:rPr>
          <w:b/>
          <w:bCs/>
          <w:color w:val="306BEA"/>
        </w:rPr>
        <w:t xml:space="preserve">13. </w:t>
      </w:r>
      <w:r>
        <w:rPr>
          <w:b/>
          <w:bCs/>
          <w:color w:val="071C3C"/>
        </w:rPr>
        <w:t xml:space="preserve">Internal audit reports to Callum, the SMF responsible for a lending division, that affordability checks are being skipped. He takes no action for a year. Which rules?</w:t>
      </w:r>
    </w:p>
    <w:p>
      <w:pPr>
        <w:keepNext w:val="false"/>
        <w:keepLines/>
        <w:spacing w:after="120" w:before="0"/>
      </w:pPr>
      <w:r>
        <w:rPr>
          <w:color w:val="59687E"/>
        </w:rPr>
        <w:t xml:space="preserve">Your answer: ________________________________________________</w:t>
      </w:r>
    </w:p>
    <w:p>
      <w:pPr>
        <w:keepNext/>
        <w:keepLines/>
        <w:spacing w:after="80" w:before="160"/>
      </w:pPr>
      <w:r>
        <w:rPr>
          <w:b/>
          <w:bCs/>
          <w:color w:val="306BEA"/>
        </w:rPr>
        <w:t xml:space="preserve">14. </w:t>
      </w:r>
      <w:r>
        <w:rPr>
          <w:b/>
          <w:bCs/>
          <w:color w:val="071C3C"/>
        </w:rPr>
        <w:t xml:space="preserve">Hannah, the CEO, learns that a key IT supplier has suffered a major outage that will disrupt customer payments for days. She decides not to tell the FCA until the board meets next month. Which rule?</w:t>
      </w:r>
    </w:p>
    <w:p>
      <w:pPr>
        <w:keepNext w:val="false"/>
        <w:keepLines/>
        <w:spacing w:after="120" w:before="0"/>
      </w:pPr>
      <w:r>
        <w:rPr>
          <w:color w:val="59687E"/>
        </w:rPr>
        <w:t xml:space="preserve">Your answer: ________________________________________________</w:t>
      </w:r>
    </w:p>
    <w:p>
      <w:pPr>
        <w:pStyle w:val="Heading1"/>
      </w:pPr>
      <w:r>
        <w:t xml:space="preserve">Consumer Duty and Rule 6</w:t>
      </w:r>
    </w:p>
    <w:p>
      <w:pPr>
        <w:keepNext/>
        <w:keepLines/>
        <w:spacing w:after="80" w:before="160"/>
      </w:pPr>
      <w:r>
        <w:rPr>
          <w:b/>
          <w:bCs/>
          <w:color w:val="306BEA"/>
        </w:rPr>
        <w:t xml:space="preserve">15. </w:t>
      </w:r>
      <w:r>
        <w:rPr>
          <w:b/>
          <w:bCs/>
          <w:color w:val="071C3C"/>
        </w:rPr>
        <w:t xml:space="preserve">Lucy works in a retail bank's call centre. She has been told to use a script that makes it hard for customers to cancel a savings product, and she follows it even when customers clearly want to leave. Is she in breach?</w:t>
      </w:r>
    </w:p>
    <w:p>
      <w:pPr>
        <w:keepNext w:val="false"/>
        <w:keepLines/>
        <w:spacing w:after="120" w:before="0"/>
      </w:pPr>
      <w:r>
        <w:rPr>
          <w:color w:val="59687E"/>
        </w:rPr>
        <w:t xml:space="preserve">Your answer: ________________________________________________</w:t>
      </w:r>
    </w:p>
    <w:p>
      <w:pPr>
        <w:keepNext/>
        <w:keepLines/>
        <w:spacing w:after="80" w:before="160"/>
      </w:pPr>
      <w:r>
        <w:rPr>
          <w:b/>
          <w:bCs/>
          <w:color w:val="306BEA"/>
        </w:rPr>
        <w:t xml:space="preserve">16. </w:t>
      </w:r>
      <w:r>
        <w:rPr>
          <w:b/>
          <w:bCs/>
          <w:color w:val="071C3C"/>
        </w:rPr>
        <w:t xml:space="preserve">Noah designs a credit card for a target market that includes many customers in financial difficulty. He knows the fees will be hard for them to understand but launches anyway. Which rule?</w:t>
      </w:r>
    </w:p>
    <w:p>
      <w:pPr>
        <w:keepNext w:val="false"/>
        <w:keepLines/>
        <w:spacing w:after="120" w:before="0"/>
      </w:pPr>
      <w:r>
        <w:rPr>
          <w:color w:val="59687E"/>
        </w:rPr>
        <w:t xml:space="preserve">Your answer: ________________________________________________</w:t>
      </w:r>
    </w:p>
    <w:p>
      <w:pPr>
        <w:pStyle w:val="Heading1"/>
      </w:pPr>
      <w:r>
        <w:t xml:space="preserve">Reporting Breaches</w:t>
      </w:r>
    </w:p>
    <w:p>
      <w:pPr>
        <w:keepNext/>
        <w:keepLines/>
        <w:spacing w:after="80" w:before="160"/>
      </w:pPr>
      <w:r>
        <w:rPr>
          <w:b/>
          <w:bCs/>
          <w:color w:val="306BEA"/>
        </w:rPr>
        <w:t xml:space="preserve">17. </w:t>
      </w:r>
      <w:r>
        <w:rPr>
          <w:b/>
          <w:bCs/>
          <w:color w:val="071C3C"/>
        </w:rPr>
        <w:t xml:space="preserve">A certified adviser receives a final written warning for a Rule 2 breach. How does the firm report it?</w:t>
      </w:r>
    </w:p>
    <w:p>
      <w:pPr>
        <w:keepNext w:val="false"/>
        <w:keepLines/>
        <w:spacing w:after="120" w:before="0"/>
      </w:pPr>
      <w:r>
        <w:rPr>
          <w:color w:val="59687E"/>
        </w:rPr>
        <w:t xml:space="preserve">Your answer: ________________________________________________</w:t>
      </w:r>
    </w:p>
    <w:p>
      <w:pPr>
        <w:keepNext/>
        <w:keepLines/>
        <w:spacing w:after="80" w:before="160"/>
      </w:pPr>
      <w:r>
        <w:rPr>
          <w:b/>
          <w:bCs/>
          <w:color w:val="306BEA"/>
        </w:rPr>
        <w:t xml:space="preserve">18. </w:t>
      </w:r>
      <w:r>
        <w:rPr>
          <w:b/>
          <w:bCs/>
          <w:color w:val="071C3C"/>
        </w:rPr>
        <w:t xml:space="preserve">A Senior Manager has their bonus reduced for an SC2 breach. When must the FCA be told?</w:t>
      </w:r>
    </w:p>
    <w:p>
      <w:pPr>
        <w:keepNext w:val="false"/>
        <w:keepLines/>
        <w:spacing w:after="120" w:before="0"/>
      </w:pPr>
      <w:r>
        <w:rPr>
          <w:color w:val="59687E"/>
        </w:rPr>
        <w:t xml:space="preserve">Your answer: ________________________________________________</w:t>
      </w:r>
    </w:p>
    <w:p>
      <w:pPr>
        <w:keepNext/>
        <w:keepLines/>
        <w:spacing w:after="80" w:before="160"/>
      </w:pPr>
      <w:r>
        <w:rPr>
          <w:b/>
          <w:bCs/>
          <w:color w:val="306BEA"/>
        </w:rPr>
        <w:t xml:space="preserve">19. </w:t>
      </w:r>
      <w:r>
        <w:rPr>
          <w:b/>
          <w:bCs/>
          <w:color w:val="071C3C"/>
        </w:rPr>
        <w:t xml:space="preserve">A firm suspends an employee while it investigates a possible Rule 1 breach. Is the suspension reportable?</w:t>
      </w:r>
    </w:p>
    <w:p>
      <w:pPr>
        <w:keepNext w:val="false"/>
        <w:keepLines/>
        <w:spacing w:after="120" w:before="0"/>
      </w:pPr>
      <w:r>
        <w:rPr>
          <w:color w:val="59687E"/>
        </w:rPr>
        <w:t xml:space="preserve">Your answer: ________________________________________________</w:t>
      </w:r>
    </w:p>
    <w:p>
      <w:pPr>
        <w:keepNext/>
        <w:keepLines/>
        <w:spacing w:after="80" w:before="160"/>
      </w:pPr>
      <w:r>
        <w:rPr>
          <w:b/>
          <w:bCs/>
          <w:color w:val="306BEA"/>
        </w:rPr>
        <w:t xml:space="preserve">20. </w:t>
      </w:r>
      <w:r>
        <w:rPr>
          <w:b/>
          <w:bCs/>
          <w:color w:val="071C3C"/>
        </w:rPr>
        <w:t xml:space="preserve">Since 1 September 2026, could serious bullying of a colleague at an insurance broker be a conduct rule breach?</w:t>
      </w:r>
    </w:p>
    <w:p>
      <w:pPr>
        <w:keepNext w:val="false"/>
        <w:keepLines/>
        <w:spacing w:after="120" w:before="0"/>
      </w:pPr>
      <w:r>
        <w:rPr>
          <w:color w:val="59687E"/>
        </w:rPr>
        <w:t xml:space="preserve">Your answer: ________________________________________________</w:t>
      </w:r>
    </w:p>
    <w:p>
      <w:r>
        <w:br w:type="page"/>
      </w:r>
    </w:p>
    <w:p>
      <w:pPr>
        <w:pStyle w:val="Heading1"/>
      </w:pPr>
      <w:r>
        <w:t xml:space="preserve">Answers</w:t>
      </w:r>
    </w:p>
    <w:p>
      <w:pPr>
        <w:pStyle w:val="Heading2"/>
      </w:pPr>
      <w:r>
        <w:t xml:space="preserve">Who Is Covered?</w:t>
      </w:r>
    </w:p>
    <w:p>
      <w:pPr>
        <w:keepLines/>
        <w:spacing w:after="120"/>
      </w:pPr>
      <w:r>
        <w:rPr>
          <w:b/>
          <w:bCs/>
          <w:color w:val="071C3C"/>
        </w:rPr>
        <w:t xml:space="preserve">1. No. </w:t>
      </w:r>
      <w:r>
        <w:t xml:space="preserve">Receptionists are one of the ancillary roles excluded from COCON, alongside switchboard operators, post room staff, security guards, cleaners and catering staff. The exclusion depends on what the person actually does. If Marcus also started logging customer complaints and deciding how to route them, the answer could change.</w:t>
      </w:r>
    </w:p>
    <w:p>
      <w:pPr>
        <w:keepLines/>
        <w:spacing w:after="120"/>
      </w:pPr>
      <w:r>
        <w:rPr>
          <w:b/>
          <w:bCs/>
          <w:color w:val="071C3C"/>
        </w:rPr>
        <w:t xml:space="preserve">2. Yes. </w:t>
      </w:r>
      <w:r>
        <w:t xml:space="preserve">She is not a Senior Manager or certified, but she is an employee carrying out the firm's financial services activities, and she isn't in an ancillary role. She is conduct rules staff and subject to the six Individual Conduct Rules. Because claims handling for retail customers falls within the Consumer Duty, Rule 6 applies to that work and Rule 4 does not.</w:t>
      </w:r>
    </w:p>
    <w:p>
      <w:pPr>
        <w:keepLines/>
        <w:spacing w:after="120"/>
      </w:pPr>
      <w:r>
        <w:rPr>
          <w:b/>
          <w:bCs/>
          <w:color w:val="071C3C"/>
        </w:rPr>
        <w:t xml:space="preserve">3. No. </w:t>
      </w:r>
      <w:r>
        <w:t xml:space="preserve">Ben is subject to the Individual Conduct Rules as ordinary conduct rules staff, but SC1 to SC4 apply only to Senior Managers (and SC4 to non-executive directors). Being at a small firm doesn't change that.</w:t>
      </w:r>
    </w:p>
    <w:p>
      <w:pPr>
        <w:keepLines/>
        <w:spacing w:after="120"/>
      </w:pPr>
      <w:r>
        <w:rPr>
          <w:b/>
          <w:bCs/>
          <w:color w:val="071C3C"/>
        </w:rPr>
        <w:t xml:space="preserve">4. Rules 1 to 6 and SC4. </w:t>
      </w:r>
      <w:r>
        <w:t xml:space="preserve">Standard NEDs are conduct rules staff, but SC1 to SC3 don't apply to them because they have no executive responsibility for a business area. SC4 does apply, so Priya must disclose information the regulators would reasonably expect to know. See our guide to NEDs at FCA-regulated firms .</w:t>
      </w:r>
    </w:p>
    <w:p>
      <w:pPr>
        <w:keepLines/>
        <w:spacing w:after="120"/>
      </w:pPr>
      <w:r>
        <w:rPr>
          <w:b/>
          <w:bCs/>
          <w:color w:val="071C3C"/>
        </w:rPr>
        <w:t xml:space="preserve">5. Jo is; Tom is not. </w:t>
      </w:r>
      <w:r>
        <w:t xml:space="preserve">IT helpdesk support is on the ancillary list. Writing code that determines what customers pay is not, and it involves judgement that directly affects outcomes. Jo is conduct rules staff.</w:t>
      </w:r>
    </w:p>
    <w:p>
      <w:pPr>
        <w:keepLines/>
        <w:spacing w:after="120"/>
      </w:pPr>
      <w:r>
        <w:rPr>
          <w:b/>
          <w:bCs/>
          <w:color w:val="071C3C"/>
        </w:rPr>
        <w:t xml:space="preserve">6. Yes. </w:t>
      </w:r>
      <w:r>
        <w:t xml:space="preserve">A person covering a senior management function under the 12-week rule is subject to the Senior Manager Conduct Rules, even though they aren't approved. COCON specifically includes them.</w:t>
      </w:r>
    </w:p>
    <w:p>
      <w:pPr>
        <w:pStyle w:val="Heading2"/>
      </w:pPr>
      <w:r>
        <w:t xml:space="preserve">Which Rule Has Been Breached?</w:t>
      </w:r>
    </w:p>
    <w:p>
      <w:pPr>
        <w:keepLines/>
        <w:spacing w:after="120"/>
      </w:pPr>
      <w:r>
        <w:rPr>
          <w:b/>
          <w:bCs/>
          <w:color w:val="071C3C"/>
        </w:rPr>
        <w:t xml:space="preserve">7. Rule 1 (integrity). </w:t>
      </w:r>
      <w:r>
        <w:t xml:space="preserve">Deliberately falsifying records is a lack of integrity. Depending on the facts, it may breach other rules too, but integrity is the primary one.</w:t>
      </w:r>
    </w:p>
    <w:p>
      <w:pPr>
        <w:keepLines/>
        <w:spacing w:after="120"/>
      </w:pPr>
      <w:r>
        <w:rPr>
          <w:b/>
          <w:bCs/>
          <w:color w:val="071C3C"/>
        </w:rPr>
        <w:t xml:space="preserve">8. Rule 3 (open and cooperative with regulators) </w:t>
      </w:r>
      <w:r>
        <w:t xml:space="preserve">, and probably Rule 1 as well. Misleading the regulator, or failing to give information it asks for, is the core of Rule 3.</w:t>
      </w:r>
    </w:p>
    <w:p>
      <w:pPr>
        <w:keepLines/>
        <w:spacing w:after="120"/>
      </w:pPr>
      <w:r>
        <w:rPr>
          <w:b/>
          <w:bCs/>
          <w:color w:val="071C3C"/>
        </w:rPr>
        <w:t xml:space="preserve">9. Rule 5 (proper standards of market conduct). </w:t>
      </w:r>
      <w:r>
        <w:t xml:space="preserve">Passing on confidential order information breaches market conduct standards and may also be market abuse. This is why COCON says traders need deeper training on Rule 5.</w:t>
      </w:r>
    </w:p>
    <w:p>
      <w:pPr>
        <w:keepLines/>
        <w:spacing w:after="120"/>
      </w:pPr>
      <w:r>
        <w:rPr>
          <w:b/>
          <w:bCs/>
          <w:color w:val="071C3C"/>
        </w:rPr>
        <w:t xml:space="preserve">10. Rule 2 (due skill, care and diligence). </w:t>
      </w:r>
      <w:r>
        <w:t xml:space="preserve">There is no suggestion of dishonesty, but she didn't take the care the task needed. Carelessness, not dishonesty, is usually a Rule 2 matter.</w:t>
      </w:r>
    </w:p>
    <w:p>
      <w:pPr>
        <w:keepLines/>
        <w:spacing w:after="120"/>
      </w:pPr>
      <w:r>
        <w:rPr>
          <w:b/>
          <w:bCs/>
          <w:color w:val="071C3C"/>
        </w:rPr>
        <w:t xml:space="preserve">11. Rule 4 (treat customers fairly). </w:t>
      </w:r>
      <w:r>
        <w:t xml:space="preserve">The Consumer Duty doesn't cover this wholesale business, so Rule 6 doesn't apply and Rule 4 does.</w:t>
      </w:r>
    </w:p>
    <w:p>
      <w:pPr>
        <w:pStyle w:val="Heading2"/>
      </w:pPr>
      <w:r>
        <w:t xml:space="preserve">Senior Manager Conduct Rules</w:t>
      </w:r>
    </w:p>
    <w:p>
      <w:pPr>
        <w:keepLines/>
        <w:spacing w:after="120"/>
      </w:pPr>
      <w:r>
        <w:rPr>
          <w:b/>
          <w:bCs/>
          <w:color w:val="071C3C"/>
        </w:rPr>
        <w:t xml:space="preserve">12. SC3 (delegation). </w:t>
      </w:r>
      <w:r>
        <w:t xml:space="preserve">Delegating isn't a breach, but she must delegate to someone appropriate and oversee the work effectively. She did neither. Our guide to the duty of responsibility and reasonable steps covers what good oversight evidence looks like.</w:t>
      </w:r>
    </w:p>
    <w:p>
      <w:pPr>
        <w:keepLines/>
        <w:spacing w:after="120"/>
      </w:pPr>
      <w:r>
        <w:rPr>
          <w:b/>
          <w:bCs/>
          <w:color w:val="071C3C"/>
        </w:rPr>
        <w:t xml:space="preserve">13. SC1 and SC2. </w:t>
      </w:r>
      <w:r>
        <w:t xml:space="preserve">He failed to take reasonable steps to make sure his area was controlled effectively and complied with regulatory requirements. If customers were harmed, Rule 6 may also be in point.</w:t>
      </w:r>
    </w:p>
    <w:p>
      <w:pPr>
        <w:keepLines/>
        <w:spacing w:after="120"/>
      </w:pPr>
      <w:r>
        <w:rPr>
          <w:b/>
          <w:bCs/>
          <w:color w:val="071C3C"/>
        </w:rPr>
        <w:t xml:space="preserve">14. SC4 (disclosure). </w:t>
      </w:r>
      <w:r>
        <w:t xml:space="preserve">A significant operational incident affecting customers is something the FCA would reasonably expect to hear about promptly. Waiting for a board meeting is not appropriate disclosure.</w:t>
      </w:r>
    </w:p>
    <w:p>
      <w:pPr>
        <w:pStyle w:val="Heading2"/>
      </w:pPr>
      <w:r>
        <w:t xml:space="preserve">Consumer Duty and Rule 6</w:t>
      </w:r>
    </w:p>
    <w:p>
      <w:pPr>
        <w:keepLines/>
        <w:spacing w:after="120"/>
      </w:pPr>
      <w:r>
        <w:rPr>
          <w:b/>
          <w:bCs/>
          <w:color w:val="071C3C"/>
        </w:rPr>
        <w:t xml:space="preserve">15. Potentially yes, under Rule 6. </w:t>
      </w:r>
      <w:r>
        <w:t xml:space="preserve">Rule 6 requires her to act in good faith, avoid foreseeable harm and enable customers to pursue their financial objectives. Following a firm process doesn't automatically protect her if she can see it is harming customers; she should raise it. The managers who designed the script are more exposed. See our Consumer Duty guide for senior managers .</w:t>
      </w:r>
    </w:p>
    <w:p>
      <w:pPr>
        <w:keepLines/>
        <w:spacing w:after="120"/>
      </w:pPr>
      <w:r>
        <w:rPr>
          <w:b/>
          <w:bCs/>
          <w:color w:val="071C3C"/>
        </w:rPr>
        <w:t xml:space="preserve">16. Rule 6. </w:t>
      </w:r>
      <w:r>
        <w:t xml:space="preserve">Foreseeable harm to retail customers in the target market is exactly what Rule 6 is aimed at. Rule 6 is judged against what a prudent person designing the same product would do, taking account of the target market's needs.</w:t>
      </w:r>
    </w:p>
    <w:p>
      <w:pPr>
        <w:pStyle w:val="Heading2"/>
      </w:pPr>
      <w:r>
        <w:t xml:space="preserve">Reporting Breaches</w:t>
      </w:r>
    </w:p>
    <w:p>
      <w:pPr>
        <w:keepLines/>
        <w:spacing w:after="120"/>
      </w:pPr>
      <w:r>
        <w:rPr>
          <w:b/>
          <w:bCs/>
          <w:color w:val="071C3C"/>
        </w:rPr>
        <w:t xml:space="preserve">17. On the annual REP008 return. </w:t>
      </w:r>
      <w:r>
        <w:t xml:space="preserve">Under section 64C of FSMA , disciplinary action for a conduct rule breach by staff other than Senior Managers goes on REP008. For most firms the reporting period runs to 31 August and the return is due within two months.</w:t>
      </w:r>
    </w:p>
    <w:p>
      <w:pPr>
        <w:keepLines/>
        <w:spacing w:after="120"/>
      </w:pPr>
      <w:r>
        <w:rPr>
          <w:b/>
          <w:bCs/>
          <w:color w:val="071C3C"/>
        </w:rPr>
        <w:t xml:space="preserve">18. Within seven business days </w:t>
      </w:r>
      <w:r>
        <w:t xml:space="preserve">of the firm concluding the disciplinary action, on Form D (or Form C if they are leaving). See the SMCR notification forms explained .</w:t>
      </w:r>
    </w:p>
    <w:p>
      <w:pPr>
        <w:keepLines/>
        <w:spacing w:after="120"/>
      </w:pPr>
      <w:r>
        <w:rPr>
          <w:b/>
          <w:bCs/>
          <w:color w:val="071C3C"/>
        </w:rPr>
        <w:t xml:space="preserve">19. Not on its own. </w:t>
      </w:r>
      <w:r>
        <w:t xml:space="preserve">A suspension used to allow an investigation is not disciplinary action for a COCON breach. If the investigation leads to a warning, dismissal or pay reduction for a breach, that is reportable. A minor breach dealt with by informal coaching is not reportable under section 64C either, although a serious matter may need to be raised early under Principle 11. The FCA's conduct rules page sets out the routes.</w:t>
      </w:r>
    </w:p>
    <w:p>
      <w:pPr>
        <w:keepLines/>
        <w:spacing w:after="120"/>
      </w:pPr>
      <w:r>
        <w:rPr>
          <w:b/>
          <w:bCs/>
          <w:color w:val="071C3C"/>
        </w:rPr>
        <w:t xml:space="preserve">20. Yes. </w:t>
      </w:r>
      <w:r>
        <w:t xml:space="preserve">The FCA's non-financial misconduct rules, in force from 1 September 2026, confirm that serious bullying, harassment and similar behaviour towards colleagues can breach Rule 1 or Rule 2 at firms other than banks, not only at banks.</w:t>
      </w:r>
    </w:p>
    <w:p>
      <w:pPr>
        <w:pBdr>
          <w:top w:val="single" w:color="306BEA" w:sz="6" w:space="8"/>
        </w:pBdr>
        <w:spacing w:before="300"/>
      </w:pPr>
      <w:r>
        <w:rPr>
          <w:color w:val="59687E"/>
        </w:rPr>
        <w:t xml:space="preserve">More quizzes, guides and free templates: </w:t>
      </w:r>
      <w:hyperlink w:history="1" r:id="rIdewwg8m3b9_li6bii9o8db">
        <w:r>
          <w:rPr>
            <w:rStyle w:val="Hyperlink"/>
          </w:rPr>
          <w:t xml:space="preserve">smfcapital.co.uk/smcr-quiz/</w:t>
        </w:r>
      </w:hyperlink>
    </w:p>
    <w:p>
      <w:pPr>
        <w:keepNext w:val="false"/>
        <w:keepLines/>
        <w:spacing w:after="120" w:before="0"/>
      </w:pPr>
      <w:r>
        <w:rPr>
          <w:color w:val="59687E"/>
        </w:rPr>
        <w:t xml:space="preserve">SMF Capital recruits Senior Managers for FCA and PRA-regulated firms: permanent, interim and fractional. Call 0203 745 0239 or email recruitment@smfcapital.co.uk.</w:t>
      </w:r>
    </w:p>
    <w:sectPr>
      <w:headerReference w:type="default" r:id="rId6"/>
      <w:footerReference w:type="default" r:id="rId7"/>
      <w:pgSz w:w="11906" w:h="16838" w:orient="portrait"/>
      <w:pgMar w:top="1100" w:right="1200" w:bottom="1100" w:left="1200"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color w:val="59687E"/>
        <w:sz w:val="16"/>
        <w:szCs w:val="16"/>
      </w:rPr>
      <w:t xml:space="preserve">smfcapital.co.uk  |  Free to use for internal training  |  Page </w:t>
    </w:r>
    <w:r>
      <w:rPr>
        <w:color w:val="59687E"/>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b/>
        <w:bCs/>
        <w:color w:val="306BEA"/>
        <w:sz w:val="16"/>
        <w:szCs w:val="16"/>
      </w:rPr>
      <w:t xml:space="preserve">SMF Capital  |  SMCR Quiz Series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1"/>
        <w:szCs w:val="21"/>
      </w:rPr>
    </w:rPrDefault>
    <w:pPrDefault/>
  </w:docDefaults>
  <w:style w:type="paragraph" w:styleId="Normal" w:default="1">
    <w:name w:val="Normal"/>
    <w:qFormat/>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Title">
    <w:name w:val="Title"/>
    <w:basedOn w:val="Normal"/>
    <w:pPr>
      <w:keepNext/>
      <w:spacing w:after="80" w:before="0"/>
    </w:pPr>
    <w:rPr>
      <w:rFonts w:ascii="Arial" w:cs="Arial" w:eastAsia="Arial" w:hAnsi="Arial"/>
      <w:b/>
      <w:bCs/>
      <w:color w:val="071C3C"/>
      <w:sz w:val="44"/>
      <w:szCs w:val="44"/>
    </w:rPr>
  </w:style>
  <w:style w:type="paragraph" w:styleId="Heading1">
    <w:name w:val="Heading 1"/>
    <w:basedOn w:val="Normal"/>
    <w:next w:val="Normal"/>
    <w:qFormat/>
    <w:pPr>
      <w:keepNext/>
      <w:spacing w:after="120" w:before="320"/>
      <w:outlineLvl w:val="0"/>
    </w:pPr>
    <w:rPr>
      <w:rFonts w:ascii="Arial" w:cs="Arial" w:eastAsia="Arial" w:hAnsi="Arial"/>
      <w:b/>
      <w:bCs/>
      <w:color w:val="071C3C"/>
      <w:sz w:val="28"/>
      <w:szCs w:val="28"/>
    </w:rPr>
  </w:style>
  <w:style w:type="paragraph" w:styleId="Heading2">
    <w:name w:val="Heading 2"/>
    <w:basedOn w:val="Normal"/>
    <w:next w:val="Normal"/>
    <w:qFormat/>
    <w:pPr>
      <w:keepNext/>
      <w:spacing w:after="100" w:before="220"/>
      <w:outlineLvl w:val="1"/>
    </w:pPr>
    <w:rPr>
      <w:rFonts w:ascii="Arial" w:cs="Arial" w:eastAsia="Arial" w:hAnsi="Arial"/>
      <w:b/>
      <w:bCs/>
      <w:color w:val="306BEA"/>
      <w:sz w:val="23"/>
      <w:szCs w:val="23"/>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 Id="rId3yhmgjfv4xs2sxpcongvn" Type="http://schemas.openxmlformats.org/officeDocument/2006/relationships/hyperlink" Target="https://www.smfcapital.co.uk/conduct-rules-scenarios-practice-questions/" TargetMode="External"/><Relationship Id="rIdewwg8m3b9_li6bii9o8db" Type="http://schemas.openxmlformats.org/officeDocument/2006/relationships/hyperlink" Target="https://www.smfcapital.co.uk/smcr-quiz/" TargetMode="External"/><Relationship Id="rId11"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Conduct Rules Quiz</dc:title>
  <dc:creator>SMF Capital</dc:creator>
  <cp:lastModifiedBy>Un-named</cp:lastModifiedBy>
  <cp:revision>1</cp:revision>
  <dcterms:created xsi:type="dcterms:W3CDTF">2026-11-07T14:37:02.801Z</dcterms:created>
  <dcterms:modified xsi:type="dcterms:W3CDTF">2026-11-07T14:37:02.801Z</dcterms:modified>
</cp:coreProperties>
</file>

<file path=docProps/custom.xml><?xml version="1.0" encoding="utf-8"?>
<Properties xmlns="http://schemas.openxmlformats.org/officeDocument/2006/custom-properties" xmlns:vt="http://schemas.openxmlformats.org/officeDocument/2006/docPropsVTypes"/>
</file>