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71C3C"/>
          <w:sz w:val="34"/>
          <w:szCs w:val="34"/>
        </w:rPr>
        <w:t xml:space="preserve">Compliance Officer and MLRO (SMF16 and SMF17)</w:t>
      </w:r>
    </w:p>
    <w:p>
      <w:pPr>
        <w:spacing w:after="120" w:line="276"/>
      </w:pPr>
      <w:r>
        <w:rPr>
          <w:rFonts w:ascii="Arial" w:cs="Arial" w:eastAsia="Arial" w:hAnsi="Arial"/>
          <w:b/>
          <w:bCs/>
          <w:color w:val="406BDF"/>
          <w:sz w:val="24"/>
          <w:szCs w:val="24"/>
        </w:rPr>
        <w:t xml:space="preserve">Job Description Template</w:t>
      </w:r>
    </w:p>
    <w:p>
      <w:pPr>
        <w:spacing w:after="120" w:line="276"/>
      </w:pPr>
      <w:r>
        <w:rPr>
          <w:rFonts w:ascii="Arial" w:cs="Arial" w:eastAsia="Arial" w:hAnsi="Arial"/>
          <w:i/>
          <w:iCs/>
          <w:color w:val="59687E"/>
          <w:sz w:val="18"/>
          <w:szCs w:val="18"/>
        </w:rPr>
        <w:t xml:space="preserve">How to use: replace the text in square brackets with your firm's details and delete these grey notes before use. Align the responsibilities with the individual's Statement of Responsibilities so the two documents tell the same story.</w:t>
      </w:r>
    </w:p>
    <w:p>
      <w:pPr>
        <w:pBdr>
          <w:bottom w:val="single" w:color="C9D6F2" w:sz="6" w:space="4"/>
        </w:pBdr>
        <w:spacing w:after="100" w:before="280"/>
      </w:pPr>
      <w:r>
        <w:rPr>
          <w:rFonts w:ascii="Arial" w:cs="Arial" w:eastAsia="Arial" w:hAnsi="Arial"/>
          <w:b/>
          <w:bCs/>
          <w:color w:val="406BDF"/>
          <w:sz w:val="26"/>
          <w:szCs w:val="26"/>
        </w:rPr>
        <w:t xml:space="preserve">1. Role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Item</w:t>
            </w:r>
          </w:p>
        </w:tc>
        <w:tc>
          <w:tcPr>
            <w:tcW w:type="dxa" w:w="67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Details</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Job title</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[Compliance Officer and MLRO / Head of Compliance and MLRO]</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Firm</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[Firm name, FRN]</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Senior Manager Functions</w:t>
            </w:r>
          </w:p>
        </w:tc>
        <w:tc>
          <w:tcPr>
            <w:tcW w:type="dxa" w:w="6760"/>
            <w:tcMar>
              <w:top w:type="dxa" w:w="80"/>
              <w:left w:type="dxa" w:w="100"/>
              <w:bottom w:type="dxa" w:w="80"/>
              <w:right w:type="dxa" w:w="100"/>
            </w:tcMar>
          </w:tcPr>
          <w:p>
            <w:r>
              <w:rPr>
                <w:rFonts w:ascii="Arial" w:cs="Arial" w:eastAsia="Arial" w:hAnsi="Arial"/>
                <w:b w:val="false"/>
                <w:bCs w:val="false"/>
                <w:i w:val="false"/>
                <w:iCs w:val="false"/>
                <w:sz w:val="18"/>
                <w:szCs w:val="18"/>
              </w:rPr>
              <w:t xml:space="preserve">SMF16 Compliance Oversight and SMF17 Money Laundering Reporting</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Other roles</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[Nominated officer under the Money Laundering Regulations; any Prescribed Responsibilities allocated]</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Reports to</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[Chief Executive / Managing Director], with direct access to the Board and [Chair / Audit or Risk Committee]</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Direct reports</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[None / Compliance Analyst / Financial Crime Analyst]</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Location and working pattern</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[Office, hybrid or remote; days in office]</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Time commitment</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[Full-time / X days a week / X days a month (fractional)]</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Basis</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[Permanent / Interim / Fractional]</w:t>
            </w:r>
          </w:p>
        </w:tc>
      </w:tr>
    </w:tbl>
    <w:p>
      <w:pPr>
        <w:pBdr>
          <w:bottom w:val="single" w:color="C9D6F2" w:sz="6" w:space="4"/>
        </w:pBdr>
        <w:spacing w:after="100" w:before="280"/>
      </w:pPr>
      <w:r>
        <w:rPr>
          <w:rFonts w:ascii="Arial" w:cs="Arial" w:eastAsia="Arial" w:hAnsi="Arial"/>
          <w:b/>
          <w:bCs/>
          <w:color w:val="406BDF"/>
          <w:sz w:val="26"/>
          <w:szCs w:val="26"/>
        </w:rPr>
        <w:t xml:space="preserve">2. Purpose of the Role</w:t>
      </w:r>
    </w:p>
    <w:p>
      <w:pPr>
        <w:spacing w:after="120" w:line="276"/>
      </w:pPr>
      <w:r>
        <w:rPr>
          <w:rFonts w:ascii="Arial" w:cs="Arial" w:eastAsia="Arial" w:hAnsi="Arial"/>
          <w:sz w:val="20"/>
          <w:szCs w:val="20"/>
        </w:rPr>
        <w:t xml:space="preserve">[Firm name] is seeking an experienced compliance and financial crime professional to hold both the Compliance Oversight (SMF16) and Money Laundering Reporting (SMF17) functions. The role is responsible for ensuring the firm meets its regulatory obligations and for owning the firm's anti-money laundering and counter-terrorist financing framework, reporting independently to the Board.</w:t>
      </w:r>
    </w:p>
    <w:p>
      <w:pPr>
        <w:spacing w:after="120" w:line="276"/>
      </w:pPr>
      <w:r>
        <w:rPr>
          <w:rFonts w:ascii="Arial" w:cs="Arial" w:eastAsia="Arial" w:hAnsi="Arial"/>
          <w:i/>
          <w:iCs/>
          <w:color w:val="59687E"/>
          <w:sz w:val="18"/>
          <w:szCs w:val="18"/>
        </w:rPr>
        <w:t xml:space="preserve">Tailor this paragraph to the firm: its activities, permissions, customers and stage of growth.</w:t>
      </w:r>
    </w:p>
    <w:p>
      <w:pPr>
        <w:pBdr>
          <w:bottom w:val="single" w:color="C9D6F2" w:sz="6" w:space="4"/>
        </w:pBdr>
        <w:spacing w:after="100" w:before="280"/>
      </w:pPr>
      <w:r>
        <w:rPr>
          <w:rFonts w:ascii="Arial" w:cs="Arial" w:eastAsia="Arial" w:hAnsi="Arial"/>
          <w:b/>
          <w:bCs/>
          <w:color w:val="406BDF"/>
          <w:sz w:val="26"/>
          <w:szCs w:val="26"/>
        </w:rPr>
        <w:t xml:space="preserve">3. Key Responsibilities: Compliance Oversight (SMF16)</w:t>
      </w:r>
    </w:p>
    <w:p>
      <w:pPr>
        <w:pStyle w:val="ListParagraph"/>
        <w:numPr>
          <w:ilvl w:val="0"/>
          <w:numId w:val="2"/>
        </w:numPr>
        <w:spacing w:after="60"/>
      </w:pPr>
      <w:r>
        <w:rPr>
          <w:rFonts w:ascii="Arial" w:cs="Arial" w:eastAsia="Arial" w:hAnsi="Arial"/>
          <w:sz w:val="20"/>
          <w:szCs w:val="20"/>
        </w:rPr>
        <w:t xml:space="preserve">Maintain a compliance framework, policies and procedures proportionate to the firm's activities and permissions.</w:t>
      </w:r>
    </w:p>
    <w:p>
      <w:pPr>
        <w:pStyle w:val="ListParagraph"/>
        <w:numPr>
          <w:ilvl w:val="0"/>
          <w:numId w:val="2"/>
        </w:numPr>
        <w:spacing w:after="60"/>
      </w:pPr>
      <w:r>
        <w:rPr>
          <w:rFonts w:ascii="Arial" w:cs="Arial" w:eastAsia="Arial" w:hAnsi="Arial"/>
          <w:sz w:val="20"/>
          <w:szCs w:val="20"/>
        </w:rPr>
        <w:t xml:space="preserve">Advise the Board, senior management and staff on regulatory requirements and their practical application.</w:t>
      </w:r>
    </w:p>
    <w:p>
      <w:pPr>
        <w:pStyle w:val="ListParagraph"/>
        <w:numPr>
          <w:ilvl w:val="0"/>
          <w:numId w:val="2"/>
        </w:numPr>
        <w:spacing w:after="60"/>
      </w:pPr>
      <w:r>
        <w:rPr>
          <w:rFonts w:ascii="Arial" w:cs="Arial" w:eastAsia="Arial" w:hAnsi="Arial"/>
          <w:sz w:val="20"/>
          <w:szCs w:val="20"/>
        </w:rPr>
        <w:t xml:space="preserve">Design, deliver and report a risk-based compliance monitoring programme, approved by the Board.</w:t>
      </w:r>
    </w:p>
    <w:p>
      <w:pPr>
        <w:pStyle w:val="ListParagraph"/>
        <w:numPr>
          <w:ilvl w:val="0"/>
          <w:numId w:val="2"/>
        </w:numPr>
        <w:spacing w:after="60"/>
      </w:pPr>
      <w:r>
        <w:rPr>
          <w:rFonts w:ascii="Arial" w:cs="Arial" w:eastAsia="Arial" w:hAnsi="Arial"/>
          <w:sz w:val="20"/>
          <w:szCs w:val="20"/>
        </w:rPr>
        <w:t xml:space="preserve">Oversee financial promotions approval, complaints handling oversight and Consumer Duty outcome monitoring.</w:t>
      </w:r>
    </w:p>
    <w:p>
      <w:pPr>
        <w:pStyle w:val="ListParagraph"/>
        <w:numPr>
          <w:ilvl w:val="0"/>
          <w:numId w:val="2"/>
        </w:numPr>
        <w:spacing w:after="60"/>
      </w:pPr>
      <w:r>
        <w:rPr>
          <w:rFonts w:ascii="Arial" w:cs="Arial" w:eastAsia="Arial" w:hAnsi="Arial"/>
          <w:sz w:val="20"/>
          <w:szCs w:val="20"/>
        </w:rPr>
        <w:t xml:space="preserve">Identify, record and assess breaches, and make notifications to the FCA where required.</w:t>
      </w:r>
    </w:p>
    <w:p>
      <w:pPr>
        <w:pStyle w:val="ListParagraph"/>
        <w:numPr>
          <w:ilvl w:val="0"/>
          <w:numId w:val="2"/>
        </w:numPr>
        <w:spacing w:after="60"/>
      </w:pPr>
      <w:r>
        <w:rPr>
          <w:rFonts w:ascii="Arial" w:cs="Arial" w:eastAsia="Arial" w:hAnsi="Arial"/>
          <w:sz w:val="20"/>
          <w:szCs w:val="20"/>
        </w:rPr>
        <w:t xml:space="preserve">Track regulatory change and lead implementation across the business.</w:t>
      </w:r>
    </w:p>
    <w:p>
      <w:pPr>
        <w:pStyle w:val="ListParagraph"/>
        <w:numPr>
          <w:ilvl w:val="0"/>
          <w:numId w:val="2"/>
        </w:numPr>
        <w:spacing w:after="60"/>
      </w:pPr>
      <w:r>
        <w:rPr>
          <w:rFonts w:ascii="Arial" w:cs="Arial" w:eastAsia="Arial" w:hAnsi="Arial"/>
          <w:sz w:val="20"/>
          <w:szCs w:val="20"/>
        </w:rPr>
        <w:t xml:space="preserve">Prepare the annual compliance report for the Board and contribute to the Consumer Duty board report.</w:t>
      </w:r>
    </w:p>
    <w:p>
      <w:pPr>
        <w:pStyle w:val="ListParagraph"/>
        <w:numPr>
          <w:ilvl w:val="0"/>
          <w:numId w:val="2"/>
        </w:numPr>
        <w:spacing w:after="60"/>
      </w:pPr>
      <w:r>
        <w:rPr>
          <w:rFonts w:ascii="Arial" w:cs="Arial" w:eastAsia="Arial" w:hAnsi="Arial"/>
          <w:sz w:val="20"/>
          <w:szCs w:val="20"/>
        </w:rPr>
        <w:t xml:space="preserve">Manage the firm's relationship with the FCA on compliance matters.</w:t>
      </w:r>
    </w:p>
    <w:p>
      <w:pPr>
        <w:pStyle w:val="ListParagraph"/>
        <w:numPr>
          <w:ilvl w:val="0"/>
          <w:numId w:val="2"/>
        </w:numPr>
        <w:spacing w:after="60"/>
      </w:pPr>
      <w:r>
        <w:rPr>
          <w:rFonts w:ascii="Arial" w:cs="Arial" w:eastAsia="Arial" w:hAnsi="Arial"/>
          <w:sz w:val="20"/>
          <w:szCs w:val="20"/>
        </w:rPr>
        <w:t xml:space="preserve">[Add sector-specific responsibilities, e.g. suitability, affordability, CASS oversight, safeguarding.]</w:t>
      </w:r>
    </w:p>
    <w:p>
      <w:pPr>
        <w:pBdr>
          <w:bottom w:val="single" w:color="C9D6F2" w:sz="6" w:space="4"/>
        </w:pBdr>
        <w:spacing w:after="100" w:before="280"/>
      </w:pPr>
      <w:r>
        <w:rPr>
          <w:rFonts w:ascii="Arial" w:cs="Arial" w:eastAsia="Arial" w:hAnsi="Arial"/>
          <w:b/>
          <w:bCs/>
          <w:color w:val="406BDF"/>
          <w:sz w:val="26"/>
          <w:szCs w:val="26"/>
        </w:rPr>
        <w:t xml:space="preserve">4. Key Responsibilities: MLRO (SMF17)</w:t>
      </w:r>
    </w:p>
    <w:p>
      <w:pPr>
        <w:pStyle w:val="ListParagraph"/>
        <w:numPr>
          <w:ilvl w:val="0"/>
          <w:numId w:val="2"/>
        </w:numPr>
        <w:spacing w:after="60"/>
      </w:pPr>
      <w:r>
        <w:rPr>
          <w:rFonts w:ascii="Arial" w:cs="Arial" w:eastAsia="Arial" w:hAnsi="Arial"/>
          <w:sz w:val="20"/>
          <w:szCs w:val="20"/>
        </w:rPr>
        <w:t xml:space="preserve">Own the firm's business-wide money laundering and terrorist financing risk assessment.</w:t>
      </w:r>
    </w:p>
    <w:p>
      <w:pPr>
        <w:pStyle w:val="ListParagraph"/>
        <w:numPr>
          <w:ilvl w:val="0"/>
          <w:numId w:val="2"/>
        </w:numPr>
        <w:spacing w:after="60"/>
      </w:pPr>
      <w:r>
        <w:rPr>
          <w:rFonts w:ascii="Arial" w:cs="Arial" w:eastAsia="Arial" w:hAnsi="Arial"/>
          <w:sz w:val="20"/>
          <w:szCs w:val="20"/>
        </w:rPr>
        <w:t xml:space="preserve">Set and oversee customer due diligence, enhanced due diligence and ongoing monitoring standards.</w:t>
      </w:r>
    </w:p>
    <w:p>
      <w:pPr>
        <w:pStyle w:val="ListParagraph"/>
        <w:numPr>
          <w:ilvl w:val="0"/>
          <w:numId w:val="2"/>
        </w:numPr>
        <w:spacing w:after="60"/>
      </w:pPr>
      <w:r>
        <w:rPr>
          <w:rFonts w:ascii="Arial" w:cs="Arial" w:eastAsia="Arial" w:hAnsi="Arial"/>
          <w:sz w:val="20"/>
          <w:szCs w:val="20"/>
        </w:rPr>
        <w:t xml:space="preserve">Oversee transaction monitoring and sanctions screening, including alert handling and escalation.</w:t>
      </w:r>
    </w:p>
    <w:p>
      <w:pPr>
        <w:pStyle w:val="ListParagraph"/>
        <w:numPr>
          <w:ilvl w:val="0"/>
          <w:numId w:val="2"/>
        </w:numPr>
        <w:spacing w:after="60"/>
      </w:pPr>
      <w:r>
        <w:rPr>
          <w:rFonts w:ascii="Arial" w:cs="Arial" w:eastAsia="Arial" w:hAnsi="Arial"/>
          <w:sz w:val="20"/>
          <w:szCs w:val="20"/>
        </w:rPr>
        <w:t xml:space="preserve">Act as nominated officer: receive internal suspicious activity reports, decide whether to report to the National Crime Agency, and handle defence (DAML) requests.</w:t>
      </w:r>
    </w:p>
    <w:p>
      <w:pPr>
        <w:pStyle w:val="ListParagraph"/>
        <w:numPr>
          <w:ilvl w:val="0"/>
          <w:numId w:val="2"/>
        </w:numPr>
        <w:spacing w:after="60"/>
      </w:pPr>
      <w:r>
        <w:rPr>
          <w:rFonts w:ascii="Arial" w:cs="Arial" w:eastAsia="Arial" w:hAnsi="Arial"/>
          <w:sz w:val="20"/>
          <w:szCs w:val="20"/>
        </w:rPr>
        <w:t xml:space="preserve">Report to the Board at least annually on the effectiveness of financial crime controls (the annual MLRO report).</w:t>
      </w:r>
    </w:p>
    <w:p>
      <w:pPr>
        <w:pStyle w:val="ListParagraph"/>
        <w:numPr>
          <w:ilvl w:val="0"/>
          <w:numId w:val="2"/>
        </w:numPr>
        <w:spacing w:after="60"/>
      </w:pPr>
      <w:r>
        <w:rPr>
          <w:rFonts w:ascii="Arial" w:cs="Arial" w:eastAsia="Arial" w:hAnsi="Arial"/>
          <w:sz w:val="20"/>
          <w:szCs w:val="20"/>
        </w:rPr>
        <w:t xml:space="preserve">Deliver financial crime training to staff and senior management.</w:t>
      </w:r>
    </w:p>
    <w:p>
      <w:pPr>
        <w:pStyle w:val="ListParagraph"/>
        <w:numPr>
          <w:ilvl w:val="0"/>
          <w:numId w:val="2"/>
        </w:numPr>
        <w:spacing w:after="60"/>
      </w:pPr>
      <w:r>
        <w:rPr>
          <w:rFonts w:ascii="Arial" w:cs="Arial" w:eastAsia="Arial" w:hAnsi="Arial"/>
          <w:sz w:val="20"/>
          <w:szCs w:val="20"/>
        </w:rPr>
        <w:t xml:space="preserve">Prepare or oversee regulatory returns relating to financial crime, such as REP-CRIM where applicable.</w:t>
      </w:r>
    </w:p>
    <w:p>
      <w:pPr>
        <w:pStyle w:val="ListParagraph"/>
        <w:numPr>
          <w:ilvl w:val="0"/>
          <w:numId w:val="2"/>
        </w:numPr>
        <w:spacing w:after="60"/>
      </w:pPr>
      <w:r>
        <w:rPr>
          <w:rFonts w:ascii="Arial" w:cs="Arial" w:eastAsia="Arial" w:hAnsi="Arial"/>
          <w:sz w:val="20"/>
          <w:szCs w:val="20"/>
        </w:rPr>
        <w:t xml:space="preserve">Arrange independent review of the financial crime framework, recognising that the same person also oversees compliance.</w:t>
      </w:r>
    </w:p>
    <w:p>
      <w:pPr>
        <w:pBdr>
          <w:bottom w:val="single" w:color="C9D6F2" w:sz="6" w:space="4"/>
        </w:pBdr>
        <w:spacing w:after="100" w:before="280"/>
      </w:pPr>
      <w:r>
        <w:rPr>
          <w:rFonts w:ascii="Arial" w:cs="Arial" w:eastAsia="Arial" w:hAnsi="Arial"/>
          <w:b/>
          <w:bCs/>
          <w:color w:val="406BDF"/>
          <w:sz w:val="26"/>
          <w:szCs w:val="26"/>
        </w:rPr>
        <w:t xml:space="preserve">5. Experience and Qualifications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tblHeader/>
        </w:trPr>
        <w:tc>
          <w:tcPr>
            <w:tcW w:type="dxa" w:w="30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Area</w:t>
            </w:r>
          </w:p>
        </w:tc>
        <w:tc>
          <w:tcPr>
            <w:tcW w:type="dxa" w:w="318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Essential</w:t>
            </w:r>
          </w:p>
        </w:tc>
        <w:tc>
          <w:tcPr>
            <w:tcW w:type="dxa" w:w="318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Desirable</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Experience</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[X] years in compliance and financial crime at FCA-regulated firms; prior SMF16 and/or SMF17 approval or equivalent responsibility</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[Sector experience, e.g. payments, wealth, consumer credit, insurance broking]</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Regulatory knowledge</w:t>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The FCA Handbook areas relevant to the firm's permissions; the Money Laundering Regulations 2017; the Senior Managers regime</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[Consumer Duty implementation; authorisation or variation of permission experience]</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Qualifications</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[None essential / a relevant professional qualification]</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[ICA Diploma in AML or Compliance; CISI qualification; ACAMS]</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Monitoring</w:t>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Design and delivery of a risk-based compliance monitoring programme</w:t>
            </w:r>
          </w:p>
        </w:tc>
        <w:tc>
          <w:tcPr>
            <w:tcW w:type="dxa" w:w="3180"/>
            <w:tcMar>
              <w:top w:type="dxa" w:w="80"/>
              <w:left w:type="dxa" w:w="100"/>
              <w:bottom w:type="dxa" w:w="80"/>
              <w:right w:type="dxa" w:w="100"/>
            </w:tcMar>
          </w:tcPr>
          <w:p>
            <w:r>
              <w:rPr>
                <w:rFonts w:ascii="Arial" w:cs="Arial" w:eastAsia="Arial" w:hAnsi="Arial"/>
                <w:b w:val="false"/>
                <w:bCs w:val="false"/>
                <w:i/>
                <w:iCs/>
                <w:color w:val="59687E"/>
                <w:sz w:val="18"/>
                <w:szCs w:val="18"/>
              </w:rPr>
              <w:t xml:space="preserve">[Thematic reviews; outsourced monitoring oversight]</w:t>
            </w:r>
          </w:p>
        </w:tc>
      </w:tr>
    </w:tbl>
    <w:p>
      <w:pPr>
        <w:pBdr>
          <w:bottom w:val="single" w:color="C9D6F2" w:sz="6" w:space="4"/>
        </w:pBdr>
        <w:spacing w:after="100" w:before="280"/>
      </w:pPr>
      <w:r>
        <w:rPr>
          <w:rFonts w:ascii="Arial" w:cs="Arial" w:eastAsia="Arial" w:hAnsi="Arial"/>
          <w:b/>
          <w:bCs/>
          <w:color w:val="406BDF"/>
          <w:sz w:val="26"/>
          <w:szCs w:val="26"/>
        </w:rPr>
        <w:t xml:space="preserve">6. Skills and Behaviours</w:t>
      </w:r>
    </w:p>
    <w:p>
      <w:pPr>
        <w:pStyle w:val="ListParagraph"/>
        <w:numPr>
          <w:ilvl w:val="0"/>
          <w:numId w:val="2"/>
        </w:numPr>
        <w:spacing w:after="60"/>
      </w:pPr>
      <w:r>
        <w:rPr>
          <w:rFonts w:ascii="Arial" w:cs="Arial" w:eastAsia="Arial" w:hAnsi="Arial"/>
          <w:sz w:val="20"/>
          <w:szCs w:val="20"/>
        </w:rPr>
        <w:t xml:space="preserve">Sound, documented judgement, particularly on suspicious activity decisions.</w:t>
      </w:r>
    </w:p>
    <w:p>
      <w:pPr>
        <w:pStyle w:val="ListParagraph"/>
        <w:numPr>
          <w:ilvl w:val="0"/>
          <w:numId w:val="2"/>
        </w:numPr>
        <w:spacing w:after="60"/>
      </w:pPr>
      <w:r>
        <w:rPr>
          <w:rFonts w:ascii="Arial" w:cs="Arial" w:eastAsia="Arial" w:hAnsi="Arial"/>
          <w:sz w:val="20"/>
          <w:szCs w:val="20"/>
        </w:rPr>
        <w:t xml:space="preserve">Independence and the confidence to challenge senior management.</w:t>
      </w:r>
    </w:p>
    <w:p>
      <w:pPr>
        <w:pStyle w:val="ListParagraph"/>
        <w:numPr>
          <w:ilvl w:val="0"/>
          <w:numId w:val="2"/>
        </w:numPr>
        <w:spacing w:after="60"/>
      </w:pPr>
      <w:r>
        <w:rPr>
          <w:rFonts w:ascii="Arial" w:cs="Arial" w:eastAsia="Arial" w:hAnsi="Arial"/>
          <w:sz w:val="20"/>
          <w:szCs w:val="20"/>
        </w:rPr>
        <w:t xml:space="preserve">Clear, concise written reporting to the Board.</w:t>
      </w:r>
    </w:p>
    <w:p>
      <w:pPr>
        <w:pStyle w:val="ListParagraph"/>
        <w:numPr>
          <w:ilvl w:val="0"/>
          <w:numId w:val="2"/>
        </w:numPr>
        <w:spacing w:after="60"/>
      </w:pPr>
      <w:r>
        <w:rPr>
          <w:rFonts w:ascii="Arial" w:cs="Arial" w:eastAsia="Arial" w:hAnsi="Arial"/>
          <w:sz w:val="20"/>
          <w:szCs w:val="20"/>
        </w:rPr>
        <w:t xml:space="preserve">Practical, commercial advice that helps the business meet its obligations.</w:t>
      </w:r>
    </w:p>
    <w:p>
      <w:pPr>
        <w:pStyle w:val="ListParagraph"/>
        <w:numPr>
          <w:ilvl w:val="0"/>
          <w:numId w:val="2"/>
        </w:numPr>
        <w:spacing w:after="60"/>
      </w:pPr>
      <w:r>
        <w:rPr>
          <w:rFonts w:ascii="Arial" w:cs="Arial" w:eastAsia="Arial" w:hAnsi="Arial"/>
          <w:sz w:val="20"/>
          <w:szCs w:val="20"/>
        </w:rPr>
        <w:t xml:space="preserve">Organisation and prioritisation across two demanding functions.</w:t>
      </w:r>
    </w:p>
    <w:p>
      <w:pPr>
        <w:pBdr>
          <w:bottom w:val="single" w:color="C9D6F2" w:sz="6" w:space="4"/>
        </w:pBdr>
        <w:spacing w:after="100" w:before="280"/>
      </w:pPr>
      <w:r>
        <w:rPr>
          <w:rFonts w:ascii="Arial" w:cs="Arial" w:eastAsia="Arial" w:hAnsi="Arial"/>
          <w:b/>
          <w:bCs/>
          <w:color w:val="406BDF"/>
          <w:sz w:val="26"/>
          <w:szCs w:val="26"/>
        </w:rPr>
        <w:t xml:space="preserve">7. Regulatory Approval and Checks</w:t>
      </w:r>
    </w:p>
    <w:p>
      <w:pPr>
        <w:spacing w:after="120" w:line="276"/>
      </w:pPr>
      <w:r>
        <w:rPr>
          <w:rFonts w:ascii="Arial" w:cs="Arial" w:eastAsia="Arial" w:hAnsi="Arial"/>
          <w:sz w:val="20"/>
          <w:szCs w:val="20"/>
        </w:rPr>
        <w:t xml:space="preserve">This appointment is subject to FCA approval of the SMF16 and SMF17 functions. Any offer will be conditional on:</w:t>
      </w:r>
    </w:p>
    <w:p>
      <w:pPr>
        <w:pStyle w:val="ListParagraph"/>
        <w:numPr>
          <w:ilvl w:val="0"/>
          <w:numId w:val="2"/>
        </w:numPr>
        <w:spacing w:after="60"/>
      </w:pPr>
      <w:r>
        <w:rPr>
          <w:rFonts w:ascii="Arial" w:cs="Arial" w:eastAsia="Arial" w:hAnsi="Arial"/>
          <w:sz w:val="20"/>
          <w:szCs w:val="20"/>
        </w:rPr>
        <w:t xml:space="preserve">satisfactory criminal records and credit checks;</w:t>
      </w:r>
    </w:p>
    <w:p>
      <w:pPr>
        <w:pStyle w:val="ListParagraph"/>
        <w:numPr>
          <w:ilvl w:val="0"/>
          <w:numId w:val="2"/>
        </w:numPr>
        <w:spacing w:after="60"/>
      </w:pPr>
      <w:r>
        <w:rPr>
          <w:rFonts w:ascii="Arial" w:cs="Arial" w:eastAsia="Arial" w:hAnsi="Arial"/>
          <w:sz w:val="20"/>
          <w:szCs w:val="20"/>
        </w:rPr>
        <w:t xml:space="preserve">regulatory references covering the previous six years;</w:t>
      </w:r>
    </w:p>
    <w:p>
      <w:pPr>
        <w:pStyle w:val="ListParagraph"/>
        <w:numPr>
          <w:ilvl w:val="0"/>
          <w:numId w:val="2"/>
        </w:numPr>
        <w:spacing w:after="60"/>
      </w:pPr>
      <w:r>
        <w:rPr>
          <w:rFonts w:ascii="Arial" w:cs="Arial" w:eastAsia="Arial" w:hAnsi="Arial"/>
          <w:sz w:val="20"/>
          <w:szCs w:val="20"/>
        </w:rPr>
        <w:t xml:space="preserve">the firm's fit and proper assessment; and</w:t>
      </w:r>
    </w:p>
    <w:p>
      <w:pPr>
        <w:pStyle w:val="ListParagraph"/>
        <w:numPr>
          <w:ilvl w:val="0"/>
          <w:numId w:val="2"/>
        </w:numPr>
        <w:spacing w:after="60"/>
      </w:pPr>
      <w:r>
        <w:rPr>
          <w:rFonts w:ascii="Arial" w:cs="Arial" w:eastAsia="Arial" w:hAnsi="Arial"/>
          <w:sz w:val="20"/>
          <w:szCs w:val="20"/>
        </w:rPr>
        <w:t xml:space="preserve">FCA approval of the application.</w:t>
      </w:r>
    </w:p>
    <w:p>
      <w:pPr>
        <w:spacing w:after="120" w:line="276"/>
      </w:pPr>
      <w:r>
        <w:rPr>
          <w:rFonts w:ascii="Arial" w:cs="Arial" w:eastAsia="Arial" w:hAnsi="Arial"/>
          <w:i/>
          <w:iCs/>
          <w:color w:val="59687E"/>
          <w:sz w:val="18"/>
          <w:szCs w:val="18"/>
        </w:rPr>
        <w:t xml:space="preserve">State any notice of the FCA's decision period (up to three months for a complete application) and the arrangements in the meantime.</w:t>
      </w:r>
    </w:p>
    <w:p>
      <w:pPr>
        <w:pBdr>
          <w:bottom w:val="single" w:color="C9D6F2" w:sz="6" w:space="4"/>
        </w:pBdr>
        <w:spacing w:after="100" w:before="280"/>
      </w:pPr>
      <w:r>
        <w:rPr>
          <w:rFonts w:ascii="Arial" w:cs="Arial" w:eastAsia="Arial" w:hAnsi="Arial"/>
          <w:b/>
          <w:bCs/>
          <w:color w:val="406BDF"/>
          <w:sz w:val="26"/>
          <w:szCs w:val="26"/>
        </w:rPr>
        <w:t xml:space="preserve">8. Package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Item</w:t>
            </w:r>
          </w:p>
        </w:tc>
        <w:tc>
          <w:tcPr>
            <w:tcW w:type="dxa" w:w="67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Details</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Salary or day rate</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 range / day rate]</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Bonus</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[Details, noting any regulatory constraints]</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Benefits</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[Pension, health, professional subscriptions, training budget]</w:t>
            </w:r>
          </w:p>
        </w:tc>
      </w:tr>
      <w:tr>
        <w:tc>
          <w:tcPr>
            <w:tcW w:type="dxa" w:w="2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Professional development</w:t>
            </w:r>
          </w:p>
        </w:tc>
        <w:tc>
          <w:tcPr>
            <w:tcW w:type="dxa" w:w="6760"/>
            <w:tcMar>
              <w:top w:type="dxa" w:w="80"/>
              <w:left w:type="dxa" w:w="100"/>
              <w:bottom w:type="dxa" w:w="80"/>
              <w:right w:type="dxa" w:w="100"/>
            </w:tcMar>
          </w:tcPr>
          <w:p>
            <w:r>
              <w:rPr>
                <w:rFonts w:ascii="Arial" w:cs="Arial" w:eastAsia="Arial" w:hAnsi="Arial"/>
                <w:b w:val="false"/>
                <w:bCs w:val="false"/>
                <w:i/>
                <w:iCs/>
                <w:color w:val="59687E"/>
                <w:sz w:val="18"/>
                <w:szCs w:val="18"/>
              </w:rPr>
              <w:t xml:space="preserve">[Support for qualifications and CPD]</w:t>
            </w:r>
          </w:p>
        </w:tc>
      </w:tr>
    </w:tbl>
    <w:p>
      <w:pPr>
        <w:spacing w:after="80"/>
      </w:pPr>
    </w:p>
    <w:p>
      <w:pPr>
        <w:spacing w:after="120" w:line="276"/>
      </w:pPr>
      <w:r>
        <w:rPr>
          <w:rFonts w:ascii="Arial" w:cs="Arial" w:eastAsia="Arial" w:hAnsi="Arial"/>
          <w:i/>
          <w:iCs/>
          <w:color w:val="59687E"/>
          <w:sz w:val="18"/>
          <w:szCs w:val="18"/>
        </w:rPr>
        <w:t xml:space="preserve">Need help recruiting? SMF Capital recruits combined compliance officer and MLRO appointments for FCA-regulated firms: smfcapital.co.uk/compliance-officer-and-mlro-recruitment-smf16-smf17/</w:t>
      </w:r>
    </w:p>
    <w:sectPr>
      <w:headerReference w:type="default" r:id="rId7"/>
      <w:footerReference w:type="default" r:id="rId8"/>
      <w:pgSz w:w="11906" w:h="16838" w:orient="portrait"/>
      <w:pgMar w:top="11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687E"/>
        <w:sz w:val="14"/>
        <w:szCs w:val="14"/>
      </w:rPr>
      <w:t xml:space="preserve">Compliance Officer and MLRO Job Description Template. Free template from SMF Capital. General guidance only, not legal or regulatory advice. 0203 745 0239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687E"/>
        <w:sz w:val="16"/>
        <w:szCs w:val="16"/>
      </w:rPr>
      <w:t xml:space="preserve">SMF Capital  |  smfcapital.co.uk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2026-10-25T03:19:55.020Z</dcterms:created>
  <dcterms:modified xsi:type="dcterms:W3CDTF">2026-10-25T03:19:55.026Z</dcterms:modified>
</cp:coreProperties>
</file>

<file path=docProps/custom.xml><?xml version="1.0" encoding="utf-8"?>
<Properties xmlns="http://schemas.openxmlformats.org/officeDocument/2006/custom-properties" xmlns:vt="http://schemas.openxmlformats.org/officeDocument/2006/docPropsVTypes"/>
</file>