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rFonts w:ascii="Arial" w:cs="Arial" w:eastAsia="Arial" w:hAnsi="Arial"/>
          <w:b/>
          <w:bCs/>
          <w:color w:val="071C3C"/>
          <w:sz w:val="34"/>
          <w:szCs w:val="34"/>
        </w:rPr>
        <w:t xml:space="preserve">Compliance Monitoring Plan</w:t>
      </w:r>
    </w:p>
    <w:p>
      <w:pPr>
        <w:spacing w:after="120" w:line="276"/>
      </w:pPr>
      <w:r>
        <w:rPr>
          <w:rFonts w:ascii="Arial" w:cs="Arial" w:eastAsia="Arial" w:hAnsi="Arial"/>
          <w:b/>
          <w:bCs/>
          <w:color w:val="406BDF"/>
          <w:sz w:val="24"/>
          <w:szCs w:val="24"/>
        </w:rPr>
        <w:t xml:space="preserve">Annual Plan Template</w:t>
      </w:r>
    </w:p>
    <w:p>
      <w:pPr>
        <w:spacing w:after="120" w:line="276"/>
      </w:pPr>
      <w:r>
        <w:rPr>
          <w:rFonts w:ascii="Arial" w:cs="Arial" w:eastAsia="Arial" w:hAnsi="Arial"/>
          <w:i/>
          <w:iCs/>
          <w:color w:val="59687E"/>
          <w:sz w:val="18"/>
          <w:szCs w:val="18"/>
        </w:rPr>
        <w:t xml:space="preserve">How to use: complete each section for your firm, replacing text in square brackets, and delete these grey notes before the plan goes to the Board. Review the plan at least annually and when the business changes.</w:t>
      </w:r>
    </w:p>
    <w:p>
      <w:pPr>
        <w:pBdr>
          <w:bottom w:val="single" w:color="C9D6F2" w:sz="6" w:space="4"/>
        </w:pBdr>
        <w:spacing w:after="100" w:before="280"/>
      </w:pPr>
      <w:r>
        <w:rPr>
          <w:rFonts w:ascii="Arial" w:cs="Arial" w:eastAsia="Arial" w:hAnsi="Arial"/>
          <w:b/>
          <w:bCs/>
          <w:color w:val="406BDF"/>
          <w:sz w:val="26"/>
          <w:szCs w:val="26"/>
        </w:rPr>
        <w:t xml:space="preserve">1. Plan Details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Item</w:t>
            </w:r>
          </w:p>
        </w:tc>
        <w:tc>
          <w:tcPr>
            <w:tcW w:type="dxa" w:w="65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Details</w:t>
            </w:r>
          </w:p>
        </w:tc>
      </w:tr>
      <w:tr>
        <w:tc>
          <w:tcPr>
            <w:tcW w:type="dxa" w:w="28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Firm</w:t>
            </w:r>
          </w:p>
        </w:tc>
        <w:tc>
          <w:tcPr>
            <w:tcW w:type="dxa" w:w="6560"/>
            <w:tcMar>
              <w:top w:type="dxa" w:w="80"/>
              <w:left w:type="dxa" w:w="100"/>
              <w:bottom w:type="dxa" w:w="80"/>
              <w:right w:type="dxa" w:w="100"/>
            </w:tcMar>
          </w:tcPr>
          <w:p>
            <w:r>
              <w:rPr>
                <w:rFonts w:ascii="Arial" w:cs="Arial" w:eastAsia="Arial" w:hAnsi="Arial"/>
                <w:b w:val="false"/>
                <w:bCs w:val="false"/>
                <w:i/>
                <w:iCs/>
                <w:color w:val="59687E"/>
                <w:sz w:val="18"/>
                <w:szCs w:val="18"/>
              </w:rPr>
              <w:t xml:space="preserve">[Firm name, FRN]</w:t>
            </w:r>
          </w:p>
        </w:tc>
      </w:tr>
      <w:tr>
        <w:tc>
          <w:tcPr>
            <w:tcW w:type="dxa" w:w="28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Plan period</w:t>
            </w:r>
          </w:p>
        </w:tc>
        <w:tc>
          <w:tcPr>
            <w:tcW w:type="dxa" w:w="6560"/>
            <w:tcMar>
              <w:top w:type="dxa" w:w="80"/>
              <w:left w:type="dxa" w:w="100"/>
              <w:bottom w:type="dxa" w:w="80"/>
              <w:right w:type="dxa" w:w="100"/>
            </w:tcMar>
          </w:tcPr>
          <w:p>
            <w:r>
              <w:rPr>
                <w:rFonts w:ascii="Arial" w:cs="Arial" w:eastAsia="Arial" w:hAnsi="Arial"/>
                <w:b w:val="false"/>
                <w:bCs w:val="false"/>
                <w:i/>
                <w:iCs/>
                <w:color w:val="59687E"/>
                <w:sz w:val="18"/>
                <w:szCs w:val="18"/>
              </w:rPr>
              <w:t xml:space="preserve">[1 January to 31 December 20XX]</w:t>
            </w:r>
          </w:p>
        </w:tc>
      </w:tr>
      <w:tr>
        <w:tc>
          <w:tcPr>
            <w:tcW w:type="dxa" w:w="28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Prepared by</w:t>
            </w:r>
          </w:p>
        </w:tc>
        <w:tc>
          <w:tcPr>
            <w:tcW w:type="dxa" w:w="6560"/>
            <w:tcMar>
              <w:top w:type="dxa" w:w="80"/>
              <w:left w:type="dxa" w:w="100"/>
              <w:bottom w:type="dxa" w:w="80"/>
              <w:right w:type="dxa" w:w="100"/>
            </w:tcMar>
          </w:tcPr>
          <w:p>
            <w:r>
              <w:rPr>
                <w:rFonts w:ascii="Arial" w:cs="Arial" w:eastAsia="Arial" w:hAnsi="Arial"/>
                <w:b w:val="false"/>
                <w:bCs w:val="false"/>
                <w:i/>
                <w:iCs/>
                <w:color w:val="59687E"/>
                <w:sz w:val="18"/>
                <w:szCs w:val="18"/>
              </w:rPr>
              <w:t xml:space="preserve">[Name], Compliance Officer (SMF16)</w:t>
            </w:r>
          </w:p>
        </w:tc>
      </w:tr>
      <w:tr>
        <w:tc>
          <w:tcPr>
            <w:tcW w:type="dxa" w:w="28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Approved by</w:t>
            </w:r>
          </w:p>
        </w:tc>
        <w:tc>
          <w:tcPr>
            <w:tcW w:type="dxa" w:w="6560"/>
            <w:tcMar>
              <w:top w:type="dxa" w:w="80"/>
              <w:left w:type="dxa" w:w="100"/>
              <w:bottom w:type="dxa" w:w="80"/>
              <w:right w:type="dxa" w:w="100"/>
            </w:tcMar>
          </w:tcPr>
          <w:p>
            <w:r>
              <w:rPr>
                <w:rFonts w:ascii="Arial" w:cs="Arial" w:eastAsia="Arial" w:hAnsi="Arial"/>
                <w:b w:val="false"/>
                <w:bCs w:val="false"/>
                <w:i/>
                <w:iCs/>
                <w:color w:val="59687E"/>
                <w:sz w:val="18"/>
                <w:szCs w:val="18"/>
              </w:rPr>
              <w:t xml:space="preserve">[Board / Risk or Audit Committee], on [date]</w:t>
            </w:r>
          </w:p>
        </w:tc>
      </w:tr>
      <w:tr>
        <w:tc>
          <w:tcPr>
            <w:tcW w:type="dxa" w:w="28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Total monitoring days available</w:t>
            </w:r>
          </w:p>
        </w:tc>
        <w:tc>
          <w:tcPr>
            <w:tcW w:type="dxa" w:w="6560"/>
            <w:tcMar>
              <w:top w:type="dxa" w:w="80"/>
              <w:left w:type="dxa" w:w="100"/>
              <w:bottom w:type="dxa" w:w="80"/>
              <w:right w:type="dxa" w:w="100"/>
            </w:tcMar>
          </w:tcPr>
          <w:p>
            <w:r>
              <w:rPr>
                <w:rFonts w:ascii="Arial" w:cs="Arial" w:eastAsia="Arial" w:hAnsi="Arial"/>
                <w:b w:val="false"/>
                <w:bCs w:val="false"/>
                <w:i/>
                <w:iCs/>
                <w:color w:val="59687E"/>
                <w:sz w:val="18"/>
                <w:szCs w:val="18"/>
              </w:rPr>
              <w:t xml:space="preserve">[X days in-house + X days outsourced]</w:t>
            </w:r>
          </w:p>
        </w:tc>
      </w:tr>
    </w:tbl>
    <w:p>
      <w:pPr>
        <w:pBdr>
          <w:bottom w:val="single" w:color="C9D6F2" w:sz="6" w:space="4"/>
        </w:pBdr>
        <w:spacing w:after="100" w:before="280"/>
      </w:pPr>
      <w:r>
        <w:rPr>
          <w:rFonts w:ascii="Arial" w:cs="Arial" w:eastAsia="Arial" w:hAnsi="Arial"/>
          <w:b/>
          <w:bCs/>
          <w:color w:val="406BDF"/>
          <w:sz w:val="26"/>
          <w:szCs w:val="26"/>
        </w:rPr>
        <w:t xml:space="preserve">2. Compliance Risk Assessment</w:t>
      </w:r>
    </w:p>
    <w:p>
      <w:pPr>
        <w:spacing w:after="120" w:line="276"/>
      </w:pPr>
      <w:r>
        <w:rPr>
          <w:rFonts w:ascii="Arial" w:cs="Arial" w:eastAsia="Arial" w:hAnsi="Arial"/>
          <w:i/>
          <w:iCs/>
          <w:color w:val="59687E"/>
          <w:sz w:val="18"/>
          <w:szCs w:val="18"/>
        </w:rPr>
        <w:t xml:space="preserve">Score likelihood and impact from 1 (low) to 3 (high). Residual score = likelihood x impact, after considering the strength of controls. Use complaints, breaches, previous findings and regulatory focus as evidence.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560"/>
        <w:gridCol w:w="1100"/>
        <w:gridCol w:w="1100"/>
        <w:gridCol w:w="1100"/>
        <w:gridCol w:w="3500"/>
      </w:tblGrid>
      <w:tr>
        <w:trPr>
          <w:tblHeader/>
        </w:trPr>
        <w:tc>
          <w:tcPr>
            <w:tcW w:type="dxa" w:w="25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Area</w:t>
            </w:r>
          </w:p>
        </w:tc>
        <w:tc>
          <w:tcPr>
            <w:tcW w:type="dxa" w:w="11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Likelihood</w:t>
            </w:r>
          </w:p>
        </w:tc>
        <w:tc>
          <w:tcPr>
            <w:tcW w:type="dxa" w:w="11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Impact</w:t>
            </w:r>
          </w:p>
        </w:tc>
        <w:tc>
          <w:tcPr>
            <w:tcW w:type="dxa" w:w="11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Score</w:t>
            </w:r>
          </w:p>
        </w:tc>
        <w:tc>
          <w:tcPr>
            <w:tcW w:type="dxa" w:w="35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Rationale and evidence</w:t>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[Suitability of advice]</w:t>
            </w:r>
          </w:p>
        </w:tc>
        <w:tc>
          <w:tcPr>
            <w:tcW w:type="dxa" w:w="1100"/>
            <w:tcMar>
              <w:top w:type="dxa" w:w="80"/>
              <w:left w:type="dxa" w:w="100"/>
              <w:bottom w:type="dxa" w:w="80"/>
              <w:right w:type="dxa" w:w="100"/>
            </w:tcMar>
          </w:tcPr>
          <w:p>
            <w:r>
              <w:rPr>
                <w:rFonts w:ascii="Arial" w:cs="Arial" w:eastAsia="Arial" w:hAnsi="Arial"/>
                <w:b w:val="false"/>
                <w:bCs w:val="false"/>
                <w:i/>
                <w:iCs/>
                <w:color w:val="59687E"/>
                <w:sz w:val="18"/>
                <w:szCs w:val="18"/>
              </w:rPr>
              <w:t xml:space="preserve">[2]</w:t>
            </w:r>
          </w:p>
        </w:tc>
        <w:tc>
          <w:tcPr>
            <w:tcW w:type="dxa" w:w="1100"/>
            <w:tcMar>
              <w:top w:type="dxa" w:w="80"/>
              <w:left w:type="dxa" w:w="100"/>
              <w:bottom w:type="dxa" w:w="80"/>
              <w:right w:type="dxa" w:w="100"/>
            </w:tcMar>
          </w:tcPr>
          <w:p>
            <w:r>
              <w:rPr>
                <w:rFonts w:ascii="Arial" w:cs="Arial" w:eastAsia="Arial" w:hAnsi="Arial"/>
                <w:b w:val="false"/>
                <w:bCs w:val="false"/>
                <w:i/>
                <w:iCs/>
                <w:color w:val="59687E"/>
                <w:sz w:val="18"/>
                <w:szCs w:val="18"/>
              </w:rPr>
              <w:t xml:space="preserve">[3]</w:t>
            </w:r>
          </w:p>
        </w:tc>
        <w:tc>
          <w:tcPr>
            <w:tcW w:type="dxa" w:w="1100"/>
            <w:tcMar>
              <w:top w:type="dxa" w:w="80"/>
              <w:left w:type="dxa" w:w="100"/>
              <w:bottom w:type="dxa" w:w="80"/>
              <w:right w:type="dxa" w:w="100"/>
            </w:tcMar>
          </w:tcPr>
          <w:p>
            <w:r>
              <w:rPr>
                <w:rFonts w:ascii="Arial" w:cs="Arial" w:eastAsia="Arial" w:hAnsi="Arial"/>
                <w:b w:val="false"/>
                <w:bCs w:val="false"/>
                <w:i/>
                <w:iCs/>
                <w:color w:val="59687E"/>
                <w:sz w:val="18"/>
                <w:szCs w:val="18"/>
              </w:rPr>
              <w:t xml:space="preserve">[6]</w:t>
            </w:r>
          </w:p>
        </w:tc>
        <w:tc>
          <w:tcPr>
            <w:tcW w:type="dxa" w:w="3500"/>
            <w:tcMar>
              <w:top w:type="dxa" w:w="80"/>
              <w:left w:type="dxa" w:w="100"/>
              <w:bottom w:type="dxa" w:w="80"/>
              <w:right w:type="dxa" w:w="100"/>
            </w:tcMar>
          </w:tcPr>
          <w:p>
            <w:r>
              <w:rPr>
                <w:rFonts w:ascii="Arial" w:cs="Arial" w:eastAsia="Arial" w:hAnsi="Arial"/>
                <w:b w:val="false"/>
                <w:bCs w:val="false"/>
                <w:i/>
                <w:iCs/>
                <w:color w:val="59687E"/>
                <w:sz w:val="18"/>
                <w:szCs w:val="18"/>
              </w:rPr>
              <w:t xml:space="preserve">[e.g. new advisers this year]</w:t>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[Consumer Duty outcomes and fair value]</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[Vulnerable customers]</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[Financial promotions]</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[Complaints handling]</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[Financial crime: CDD and ongoing monitoring]</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[Client money / safeguarding]</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[Conduct Rules and certification]</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256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[Add areas for your permissions]</w:t>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bl>
    <w:p>
      <w:pPr>
        <w:pBdr>
          <w:bottom w:val="single" w:color="C9D6F2" w:sz="6" w:space="4"/>
        </w:pBdr>
        <w:spacing w:after="100" w:before="280"/>
      </w:pPr>
      <w:r>
        <w:rPr>
          <w:rFonts w:ascii="Arial" w:cs="Arial" w:eastAsia="Arial" w:hAnsi="Arial"/>
          <w:b/>
          <w:bCs/>
          <w:color w:val="406BDF"/>
          <w:sz w:val="26"/>
          <w:szCs w:val="26"/>
        </w:rPr>
        <w:t xml:space="preserve">3. Frequency Rules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rPr>
          <w:tblHeader/>
        </w:trPr>
        <w:tc>
          <w:tcPr>
            <w:tcW w:type="dxa" w:w="24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Residual score</w:t>
            </w:r>
          </w:p>
        </w:tc>
        <w:tc>
          <w:tcPr>
            <w:tcW w:type="dxa" w:w="69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Frequency</w:t>
            </w:r>
          </w:p>
        </w:tc>
      </w:tr>
      <w:tr>
        <w:tc>
          <w:tcPr>
            <w:tcW w:type="dxa" w:w="24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6 to 9</w:t>
            </w:r>
          </w:p>
        </w:tc>
        <w:tc>
          <w:tcPr>
            <w:tcW w:type="dxa" w:w="6960"/>
            <w:tcMar>
              <w:top w:type="dxa" w:w="80"/>
              <w:left w:type="dxa" w:w="100"/>
              <w:bottom w:type="dxa" w:w="80"/>
              <w:right w:type="dxa" w:w="100"/>
            </w:tcMar>
          </w:tcPr>
          <w:p>
            <w:r>
              <w:rPr>
                <w:rFonts w:ascii="Arial" w:cs="Arial" w:eastAsia="Arial" w:hAnsi="Arial"/>
                <w:b w:val="false"/>
                <w:bCs w:val="false"/>
                <w:i w:val="false"/>
                <w:iCs w:val="false"/>
                <w:sz w:val="18"/>
                <w:szCs w:val="18"/>
              </w:rPr>
              <w:t xml:space="preserve">At least twice a year</w:t>
            </w:r>
          </w:p>
        </w:tc>
      </w:tr>
      <w:tr>
        <w:tc>
          <w:tcPr>
            <w:tcW w:type="dxa" w:w="24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3 to 4</w:t>
            </w:r>
          </w:p>
        </w:tc>
        <w:tc>
          <w:tcPr>
            <w:tcW w:type="dxa" w:w="6960"/>
            <w:tcMar>
              <w:top w:type="dxa" w:w="80"/>
              <w:left w:type="dxa" w:w="100"/>
              <w:bottom w:type="dxa" w:w="80"/>
              <w:right w:type="dxa" w:w="100"/>
            </w:tcMar>
          </w:tcPr>
          <w:p>
            <w:r>
              <w:rPr>
                <w:rFonts w:ascii="Arial" w:cs="Arial" w:eastAsia="Arial" w:hAnsi="Arial"/>
                <w:b w:val="false"/>
                <w:bCs w:val="false"/>
                <w:i w:val="false"/>
                <w:iCs w:val="false"/>
                <w:sz w:val="18"/>
                <w:szCs w:val="18"/>
              </w:rPr>
              <w:t xml:space="preserve">Once a year</w:t>
            </w:r>
          </w:p>
        </w:tc>
      </w:tr>
      <w:tr>
        <w:tc>
          <w:tcPr>
            <w:tcW w:type="dxa" w:w="24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1 to 2</w:t>
            </w:r>
          </w:p>
        </w:tc>
        <w:tc>
          <w:tcPr>
            <w:tcW w:type="dxa" w:w="6960"/>
            <w:tcMar>
              <w:top w:type="dxa" w:w="80"/>
              <w:left w:type="dxa" w:w="100"/>
              <w:bottom w:type="dxa" w:w="80"/>
              <w:right w:type="dxa" w:w="100"/>
            </w:tcMar>
          </w:tcPr>
          <w:p>
            <w:r>
              <w:rPr>
                <w:rFonts w:ascii="Arial" w:cs="Arial" w:eastAsia="Arial" w:hAnsi="Arial"/>
                <w:b w:val="false"/>
                <w:bCs w:val="false"/>
                <w:i w:val="false"/>
                <w:iCs w:val="false"/>
                <w:sz w:val="18"/>
                <w:szCs w:val="18"/>
              </w:rPr>
              <w:t xml:space="preserve">Every two years, unless something changes</w:t>
            </w:r>
          </w:p>
        </w:tc>
      </w:tr>
    </w:tbl>
    <w:p>
      <w:pPr>
        <w:pBdr>
          <w:bottom w:val="single" w:color="C9D6F2" w:sz="6" w:space="4"/>
        </w:pBdr>
        <w:spacing w:after="100" w:before="280"/>
      </w:pPr>
      <w:r>
        <w:rPr>
          <w:rFonts w:ascii="Arial" w:cs="Arial" w:eastAsia="Arial" w:hAnsi="Arial"/>
          <w:b/>
          <w:bCs/>
          <w:color w:val="406BDF"/>
          <w:sz w:val="26"/>
          <w:szCs w:val="26"/>
        </w:rPr>
        <w:t xml:space="preserve">4. Annual Monitoring Calendar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2200"/>
        <w:gridCol w:w="2100"/>
        <w:gridCol w:w="1500"/>
        <w:gridCol w:w="1300"/>
        <w:gridCol w:w="1360"/>
      </w:tblGrid>
      <w:tr>
        <w:trPr>
          <w:tblHeader/>
        </w:trPr>
        <w:tc>
          <w:tcPr>
            <w:tcW w:type="dxa" w:w="9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Quarter</w:t>
            </w:r>
          </w:p>
        </w:tc>
        <w:tc>
          <w:tcPr>
            <w:tcW w:type="dxa" w:w="22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Review</w:t>
            </w:r>
          </w:p>
        </w:tc>
        <w:tc>
          <w:tcPr>
            <w:tcW w:type="dxa" w:w="21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Scope and standard</w:t>
            </w:r>
          </w:p>
        </w:tc>
        <w:tc>
          <w:tcPr>
            <w:tcW w:type="dxa" w:w="15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Method and sample</w:t>
            </w:r>
          </w:p>
        </w:tc>
        <w:tc>
          <w:tcPr>
            <w:tcW w:type="dxa" w:w="13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Reviewer</w:t>
            </w:r>
          </w:p>
        </w:tc>
        <w:tc>
          <w:tcPr>
            <w:tcW w:type="dxa" w:w="13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Days</w:t>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Q1</w:t>
            </w:r>
          </w:p>
        </w:tc>
        <w:tc>
          <w:tcPr>
            <w:tcW w:type="dxa" w:w="2200"/>
            <w:tcMar>
              <w:top w:type="dxa" w:w="80"/>
              <w:left w:type="dxa" w:w="100"/>
              <w:bottom w:type="dxa" w:w="80"/>
              <w:right w:type="dxa" w:w="100"/>
            </w:tcMar>
          </w:tcPr>
          <w:p>
            <w:r>
              <w:rPr>
                <w:rFonts w:ascii="Arial" w:cs="Arial" w:eastAsia="Arial" w:hAnsi="Arial"/>
                <w:b w:val="false"/>
                <w:bCs w:val="false"/>
                <w:i/>
                <w:iCs/>
                <w:color w:val="59687E"/>
                <w:sz w:val="18"/>
                <w:szCs w:val="18"/>
              </w:rPr>
              <w:t xml:space="preserve">[Suitability file review]</w:t>
            </w:r>
          </w:p>
        </w:tc>
        <w:tc>
          <w:tcPr>
            <w:tcW w:type="dxa" w:w="2100"/>
            <w:tcMar>
              <w:top w:type="dxa" w:w="80"/>
              <w:left w:type="dxa" w:w="100"/>
              <w:bottom w:type="dxa" w:w="80"/>
              <w:right w:type="dxa" w:w="100"/>
            </w:tcMar>
          </w:tcPr>
          <w:p>
            <w:r>
              <w:rPr>
                <w:rFonts w:ascii="Arial" w:cs="Arial" w:eastAsia="Arial" w:hAnsi="Arial"/>
                <w:b w:val="false"/>
                <w:bCs w:val="false"/>
                <w:i/>
                <w:iCs/>
                <w:color w:val="59687E"/>
                <w:sz w:val="18"/>
                <w:szCs w:val="18"/>
              </w:rPr>
              <w:t xml:space="preserve">[New advice cases, last 6 months; COBS 9]</w:t>
            </w:r>
          </w:p>
        </w:tc>
        <w:tc>
          <w:tcPr>
            <w:tcW w:type="dxa" w:w="1500"/>
            <w:tcMar>
              <w:top w:type="dxa" w:w="80"/>
              <w:left w:type="dxa" w:w="100"/>
              <w:bottom w:type="dxa" w:w="80"/>
              <w:right w:type="dxa" w:w="100"/>
            </w:tcMar>
          </w:tcPr>
          <w:p>
            <w:r>
              <w:rPr>
                <w:rFonts w:ascii="Arial" w:cs="Arial" w:eastAsia="Arial" w:hAnsi="Arial"/>
                <w:b w:val="false"/>
                <w:bCs w:val="false"/>
                <w:i/>
                <w:iCs/>
                <w:color w:val="59687E"/>
                <w:sz w:val="18"/>
                <w:szCs w:val="18"/>
              </w:rPr>
              <w:t xml:space="preserve">[File review; 100% new advisers, 10% others]</w:t>
            </w:r>
          </w:p>
        </w:tc>
        <w:tc>
          <w:tcPr>
            <w:tcW w:type="dxa" w:w="1300"/>
            <w:tcMar>
              <w:top w:type="dxa" w:w="80"/>
              <w:left w:type="dxa" w:w="100"/>
              <w:bottom w:type="dxa" w:w="80"/>
              <w:right w:type="dxa" w:w="100"/>
            </w:tcMar>
          </w:tcPr>
          <w:p>
            <w:r>
              <w:rPr>
                <w:rFonts w:ascii="Arial" w:cs="Arial" w:eastAsia="Arial" w:hAnsi="Arial"/>
                <w:b w:val="false"/>
                <w:bCs w:val="false"/>
                <w:i/>
                <w:iCs/>
                <w:color w:val="59687E"/>
                <w:sz w:val="18"/>
                <w:szCs w:val="18"/>
              </w:rPr>
              <w:t xml:space="preserve">[Outsourced]</w:t>
            </w:r>
          </w:p>
        </w:tc>
        <w:tc>
          <w:tcPr>
            <w:tcW w:type="dxa" w:w="1360"/>
            <w:tcMar>
              <w:top w:type="dxa" w:w="80"/>
              <w:left w:type="dxa" w:w="100"/>
              <w:bottom w:type="dxa" w:w="80"/>
              <w:right w:type="dxa" w:w="100"/>
            </w:tcMar>
          </w:tcPr>
          <w:p>
            <w:r>
              <w:rPr>
                <w:rFonts w:ascii="Arial" w:cs="Arial" w:eastAsia="Arial" w:hAnsi="Arial"/>
                <w:b w:val="false"/>
                <w:bCs w:val="false"/>
                <w:i/>
                <w:iCs/>
                <w:color w:val="59687E"/>
                <w:sz w:val="18"/>
                <w:szCs w:val="18"/>
              </w:rPr>
              <w:t xml:space="preserve">[4]</w:t>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Q1</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Q2</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Q2</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Q3</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Q3</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Q4</w:t>
            </w:r>
          </w:p>
        </w:tc>
        <w:tc>
          <w:tcPr>
            <w:tcW w:type="dxa" w:w="2200"/>
            <w:tcMar>
              <w:top w:type="dxa" w:w="80"/>
              <w:left w:type="dxa" w:w="100"/>
              <w:bottom w:type="dxa" w:w="80"/>
              <w:right w:type="dxa" w:w="100"/>
            </w:tcMar>
          </w:tcPr>
          <w:p>
            <w:r>
              <w:rPr>
                <w:rFonts w:ascii="Arial" w:cs="Arial" w:eastAsia="Arial" w:hAnsi="Arial"/>
                <w:b w:val="false"/>
                <w:bCs w:val="false"/>
                <w:i/>
                <w:iCs/>
                <w:color w:val="59687E"/>
                <w:sz w:val="18"/>
                <w:szCs w:val="18"/>
              </w:rPr>
              <w:t xml:space="preserve">[Follow-up testing of open actions]</w:t>
            </w:r>
          </w:p>
        </w:tc>
        <w:tc>
          <w:tcPr>
            <w:tcW w:type="dxa" w:w="2100"/>
            <w:tcMar>
              <w:top w:type="dxa" w:w="80"/>
              <w:left w:type="dxa" w:w="100"/>
              <w:bottom w:type="dxa" w:w="80"/>
              <w:right w:type="dxa" w:w="100"/>
            </w:tcMar>
          </w:tcPr>
          <w:p>
            <w:r>
              <w:rPr>
                <w:rFonts w:ascii="Arial" w:cs="Arial" w:eastAsia="Arial" w:hAnsi="Arial"/>
                <w:b w:val="false"/>
                <w:bCs w:val="false"/>
                <w:i/>
                <w:iCs/>
                <w:color w:val="59687E"/>
                <w:sz w:val="18"/>
                <w:szCs w:val="18"/>
              </w:rPr>
              <w:t xml:space="preserve">[All High and Medium actions closed in the year]</w:t>
            </w:r>
          </w:p>
        </w:tc>
        <w:tc>
          <w:tcPr>
            <w:tcW w:type="dxa" w:w="1500"/>
            <w:tcMar>
              <w:top w:type="dxa" w:w="80"/>
              <w:left w:type="dxa" w:w="100"/>
              <w:bottom w:type="dxa" w:w="80"/>
              <w:right w:type="dxa" w:w="100"/>
            </w:tcMar>
          </w:tcPr>
          <w:p>
            <w:r>
              <w:rPr>
                <w:rFonts w:ascii="Arial" w:cs="Arial" w:eastAsia="Arial" w:hAnsi="Arial"/>
                <w:b w:val="false"/>
                <w:bCs w:val="false"/>
                <w:i/>
                <w:iCs/>
                <w:color w:val="59687E"/>
                <w:sz w:val="18"/>
                <w:szCs w:val="18"/>
              </w:rPr>
              <w:t xml:space="preserve">[Retest]</w:t>
            </w:r>
          </w:p>
        </w:tc>
        <w:tc>
          <w:tcPr>
            <w:tcW w:type="dxa" w:w="1300"/>
            <w:tcMar>
              <w:top w:type="dxa" w:w="80"/>
              <w:left w:type="dxa" w:w="100"/>
              <w:bottom w:type="dxa" w:w="80"/>
              <w:right w:type="dxa" w:w="100"/>
            </w:tcMar>
          </w:tcPr>
          <w:p>
            <w:r>
              <w:rPr>
                <w:rFonts w:ascii="Arial" w:cs="Arial" w:eastAsia="Arial" w:hAnsi="Arial"/>
                <w:b w:val="false"/>
                <w:bCs w:val="false"/>
                <w:i/>
                <w:iCs/>
                <w:color w:val="59687E"/>
                <w:sz w:val="18"/>
                <w:szCs w:val="18"/>
              </w:rPr>
              <w:t xml:space="preserve">[Compliance]</w:t>
            </w:r>
          </w:p>
        </w:tc>
        <w:tc>
          <w:tcPr>
            <w:tcW w:type="dxa" w:w="1360"/>
            <w:tcMar>
              <w:top w:type="dxa" w:w="80"/>
              <w:left w:type="dxa" w:w="100"/>
              <w:bottom w:type="dxa" w:w="80"/>
              <w:right w:type="dxa" w:w="100"/>
            </w:tcMar>
          </w:tcPr>
          <w:p>
            <w:r>
              <w:rPr>
                <w:rFonts w:ascii="Arial" w:cs="Arial" w:eastAsia="Arial" w:hAnsi="Arial"/>
                <w:b w:val="false"/>
                <w:bCs w:val="false"/>
                <w:i/>
                <w:iCs/>
                <w:color w:val="59687E"/>
                <w:sz w:val="18"/>
                <w:szCs w:val="18"/>
              </w:rPr>
              <w:t xml:space="preserve">[2]</w:t>
            </w:r>
          </w:p>
        </w:tc>
      </w:tr>
      <w:tr>
        <w:tc>
          <w:tcPr>
            <w:tcW w:type="dxa" w:w="9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Q4</w:t>
            </w:r>
          </w:p>
        </w:tc>
        <w:tc>
          <w:tcPr>
            <w:tcW w:type="dxa" w:w="22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5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bl>
    <w:p>
      <w:pPr>
        <w:spacing w:after="120" w:line="276"/>
      </w:pPr>
      <w:r>
        <w:rPr>
          <w:rFonts w:ascii="Arial" w:cs="Arial" w:eastAsia="Arial" w:hAnsi="Arial"/>
          <w:i/>
          <w:iCs/>
          <w:color w:val="59687E"/>
          <w:sz w:val="18"/>
          <w:szCs w:val="18"/>
        </w:rPr>
        <w:t xml:space="preserve">Record areas deliberately not tested this year, and why, beneath the calendar.</w:t>
      </w:r>
    </w:p>
    <w:p>
      <w:pPr>
        <w:spacing w:after="120" w:line="276"/>
      </w:pPr>
      <w:r>
        <w:rPr>
          <w:rFonts w:ascii="Arial" w:cs="Arial" w:eastAsia="Arial" w:hAnsi="Arial"/>
          <w:sz w:val="20"/>
          <w:szCs w:val="20"/>
        </w:rPr>
        <w:t xml:space="preserve">Areas not tested this year: [Area, reason]</w:t>
      </w:r>
    </w:p>
    <w:p>
      <w:pPr>
        <w:pBdr>
          <w:bottom w:val="single" w:color="C9D6F2" w:sz="6" w:space="4"/>
        </w:pBdr>
        <w:spacing w:after="100" w:before="280"/>
      </w:pPr>
      <w:r>
        <w:rPr>
          <w:rFonts w:ascii="Arial" w:cs="Arial" w:eastAsia="Arial" w:hAnsi="Arial"/>
          <w:b/>
          <w:bCs/>
          <w:color w:val="406BDF"/>
          <w:sz w:val="26"/>
          <w:szCs w:val="26"/>
        </w:rPr>
        <w:t xml:space="preserve">5. Findings Rating Scale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600"/>
        <w:gridCol w:w="5160"/>
        <w:gridCol w:w="2600"/>
      </w:tblGrid>
      <w:tr>
        <w:trPr>
          <w:tblHeader/>
        </w:trPr>
        <w:tc>
          <w:tcPr>
            <w:tcW w:type="dxa" w:w="16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Rating</w:t>
            </w:r>
          </w:p>
        </w:tc>
        <w:tc>
          <w:tcPr>
            <w:tcW w:type="dxa" w:w="51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Meaning</w:t>
            </w:r>
          </w:p>
        </w:tc>
        <w:tc>
          <w:tcPr>
            <w:tcW w:type="dxa" w:w="26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Action deadline</w:t>
            </w:r>
          </w:p>
        </w:tc>
      </w:tr>
      <w:tr>
        <w:tc>
          <w:tcPr>
            <w:tcW w:type="dxa" w:w="1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High</w:t>
            </w:r>
          </w:p>
        </w:tc>
        <w:tc>
          <w:tcPr>
            <w:tcW w:type="dxa" w:w="5160"/>
            <w:tcMar>
              <w:top w:type="dxa" w:w="80"/>
              <w:left w:type="dxa" w:w="100"/>
              <w:bottom w:type="dxa" w:w="80"/>
              <w:right w:type="dxa" w:w="100"/>
            </w:tcMar>
          </w:tcPr>
          <w:p>
            <w:r>
              <w:rPr>
                <w:rFonts w:ascii="Arial" w:cs="Arial" w:eastAsia="Arial" w:hAnsi="Arial"/>
                <w:b w:val="false"/>
                <w:bCs w:val="false"/>
                <w:i w:val="false"/>
                <w:iCs w:val="false"/>
                <w:sz w:val="18"/>
                <w:szCs w:val="18"/>
              </w:rPr>
              <w:t xml:space="preserve">Actual or likely customer harm, regulatory breach, or a control that isn't working</w:t>
            </w:r>
          </w:p>
        </w:tc>
        <w:tc>
          <w:tcPr>
            <w:tcW w:type="dxa" w:w="2600"/>
            <w:tcMar>
              <w:top w:type="dxa" w:w="80"/>
              <w:left w:type="dxa" w:w="100"/>
              <w:bottom w:type="dxa" w:w="80"/>
              <w:right w:type="dxa" w:w="100"/>
            </w:tcMar>
          </w:tcPr>
          <w:p>
            <w:r>
              <w:rPr>
                <w:rFonts w:ascii="Arial" w:cs="Arial" w:eastAsia="Arial" w:hAnsi="Arial"/>
                <w:b w:val="false"/>
                <w:bCs w:val="false"/>
                <w:i w:val="false"/>
                <w:iCs w:val="false"/>
                <w:sz w:val="18"/>
                <w:szCs w:val="18"/>
              </w:rPr>
              <w:t xml:space="preserve">30 days; report to the Board immediately</w:t>
            </w:r>
          </w:p>
        </w:tc>
      </w:tr>
      <w:tr>
        <w:tc>
          <w:tcPr>
            <w:tcW w:type="dxa" w:w="1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Medium</w:t>
            </w:r>
          </w:p>
        </w:tc>
        <w:tc>
          <w:tcPr>
            <w:tcW w:type="dxa" w:w="5160"/>
            <w:tcMar>
              <w:top w:type="dxa" w:w="80"/>
              <w:left w:type="dxa" w:w="100"/>
              <w:bottom w:type="dxa" w:w="80"/>
              <w:right w:type="dxa" w:w="100"/>
            </w:tcMar>
          </w:tcPr>
          <w:p>
            <w:r>
              <w:rPr>
                <w:rFonts w:ascii="Arial" w:cs="Arial" w:eastAsia="Arial" w:hAnsi="Arial"/>
                <w:b w:val="false"/>
                <w:bCs w:val="false"/>
                <w:i w:val="false"/>
                <w:iCs w:val="false"/>
                <w:sz w:val="18"/>
                <w:szCs w:val="18"/>
              </w:rPr>
              <w:t xml:space="preserve">A control weakness that could lead to harm or breach if not fixed</w:t>
            </w:r>
          </w:p>
        </w:tc>
        <w:tc>
          <w:tcPr>
            <w:tcW w:type="dxa" w:w="2600"/>
            <w:tcMar>
              <w:top w:type="dxa" w:w="80"/>
              <w:left w:type="dxa" w:w="100"/>
              <w:bottom w:type="dxa" w:w="80"/>
              <w:right w:type="dxa" w:w="100"/>
            </w:tcMar>
          </w:tcPr>
          <w:p>
            <w:r>
              <w:rPr>
                <w:rFonts w:ascii="Arial" w:cs="Arial" w:eastAsia="Arial" w:hAnsi="Arial"/>
                <w:b w:val="false"/>
                <w:bCs w:val="false"/>
                <w:i w:val="false"/>
                <w:iCs w:val="false"/>
                <w:sz w:val="18"/>
                <w:szCs w:val="18"/>
              </w:rPr>
              <w:t xml:space="preserve">90 days</w:t>
            </w:r>
          </w:p>
        </w:tc>
      </w:tr>
      <w:tr>
        <w:tc>
          <w:tcPr>
            <w:tcW w:type="dxa" w:w="16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Low</w:t>
            </w:r>
          </w:p>
        </w:tc>
        <w:tc>
          <w:tcPr>
            <w:tcW w:type="dxa" w:w="5160"/>
            <w:tcMar>
              <w:top w:type="dxa" w:w="80"/>
              <w:left w:type="dxa" w:w="100"/>
              <w:bottom w:type="dxa" w:w="80"/>
              <w:right w:type="dxa" w:w="100"/>
            </w:tcMar>
          </w:tcPr>
          <w:p>
            <w:r>
              <w:rPr>
                <w:rFonts w:ascii="Arial" w:cs="Arial" w:eastAsia="Arial" w:hAnsi="Arial"/>
                <w:b w:val="false"/>
                <w:bCs w:val="false"/>
                <w:i w:val="false"/>
                <w:iCs w:val="false"/>
                <w:sz w:val="18"/>
                <w:szCs w:val="18"/>
              </w:rPr>
              <w:t xml:space="preserve">Minor improvement or documentation point</w:t>
            </w:r>
          </w:p>
        </w:tc>
        <w:tc>
          <w:tcPr>
            <w:tcW w:type="dxa" w:w="2600"/>
            <w:tcMar>
              <w:top w:type="dxa" w:w="80"/>
              <w:left w:type="dxa" w:w="100"/>
              <w:bottom w:type="dxa" w:w="80"/>
              <w:right w:type="dxa" w:w="100"/>
            </w:tcMar>
          </w:tcPr>
          <w:p>
            <w:r>
              <w:rPr>
                <w:rFonts w:ascii="Arial" w:cs="Arial" w:eastAsia="Arial" w:hAnsi="Arial"/>
                <w:b w:val="false"/>
                <w:bCs w:val="false"/>
                <w:i w:val="false"/>
                <w:iCs w:val="false"/>
                <w:sz w:val="18"/>
                <w:szCs w:val="18"/>
              </w:rPr>
              <w:t xml:space="preserve">Next review cycle</w:t>
            </w:r>
          </w:p>
        </w:tc>
      </w:tr>
    </w:tbl>
    <w:p>
      <w:pPr>
        <w:spacing w:after="120" w:line="276"/>
      </w:pPr>
      <w:r>
        <w:rPr>
          <w:rFonts w:ascii="Arial" w:cs="Arial" w:eastAsia="Arial" w:hAnsi="Arial"/>
          <w:i/>
          <w:iCs/>
          <w:color w:val="59687E"/>
          <w:sz w:val="18"/>
          <w:szCs w:val="18"/>
        </w:rPr>
        <w:t xml:space="preserve">Repeat findings are raised one level. High findings are retested once the action is closed.</w:t>
      </w:r>
    </w:p>
    <w:p>
      <w:pPr>
        <w:pBdr>
          <w:bottom w:val="single" w:color="C9D6F2" w:sz="6" w:space="4"/>
        </w:pBdr>
        <w:spacing w:after="100" w:before="280"/>
      </w:pPr>
      <w:r>
        <w:rPr>
          <w:rFonts w:ascii="Arial" w:cs="Arial" w:eastAsia="Arial" w:hAnsi="Arial"/>
          <w:b/>
          <w:bCs/>
          <w:color w:val="406BDF"/>
          <w:sz w:val="26"/>
          <w:szCs w:val="26"/>
        </w:rPr>
        <w:t xml:space="preserve">6. Findings and Actions Log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800"/>
        <w:gridCol w:w="1900"/>
        <w:gridCol w:w="1000"/>
        <w:gridCol w:w="2000"/>
        <w:gridCol w:w="1300"/>
        <w:gridCol w:w="1100"/>
        <w:gridCol w:w="1260"/>
      </w:tblGrid>
      <w:tr>
        <w:trPr>
          <w:tblHeader/>
        </w:trPr>
        <w:tc>
          <w:tcPr>
            <w:tcW w:type="dxa" w:w="8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Ref</w:t>
            </w:r>
          </w:p>
        </w:tc>
        <w:tc>
          <w:tcPr>
            <w:tcW w:type="dxa" w:w="19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Finding</w:t>
            </w:r>
          </w:p>
        </w:tc>
        <w:tc>
          <w:tcPr>
            <w:tcW w:type="dxa" w:w="10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Rating</w:t>
            </w:r>
          </w:p>
        </w:tc>
        <w:tc>
          <w:tcPr>
            <w:tcW w:type="dxa" w:w="20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Agreed action</w:t>
            </w:r>
          </w:p>
        </w:tc>
        <w:tc>
          <w:tcPr>
            <w:tcW w:type="dxa" w:w="13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Owner</w:t>
            </w:r>
          </w:p>
        </w:tc>
        <w:tc>
          <w:tcPr>
            <w:tcW w:type="dxa" w:w="11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Due</w:t>
            </w:r>
          </w:p>
        </w:tc>
        <w:tc>
          <w:tcPr>
            <w:tcW w:type="dxa" w:w="12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Status</w:t>
            </w:r>
          </w:p>
        </w:tc>
      </w:tr>
      <w:tr>
        <w:tc>
          <w:tcPr>
            <w:tcW w:type="dxa" w:w="80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[M-01]</w:t>
            </w:r>
          </w:p>
        </w:tc>
        <w:tc>
          <w:tcPr>
            <w:tcW w:type="dxa" w:w="19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2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80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[M-02]</w:t>
            </w:r>
          </w:p>
        </w:tc>
        <w:tc>
          <w:tcPr>
            <w:tcW w:type="dxa" w:w="19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2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80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[M-03]</w:t>
            </w:r>
          </w:p>
        </w:tc>
        <w:tc>
          <w:tcPr>
            <w:tcW w:type="dxa" w:w="19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2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800"/>
            <w:shd w:fill="EEF3FC" w:color="auto" w:val="clear"/>
            <w:tcMar>
              <w:top w:type="dxa" w:w="80"/>
              <w:left w:type="dxa" w:w="100"/>
              <w:bottom w:type="dxa" w:w="80"/>
              <w:right w:type="dxa" w:w="100"/>
            </w:tcMar>
          </w:tcPr>
          <w:p>
            <w:r>
              <w:rPr>
                <w:rFonts w:ascii="Arial" w:cs="Arial" w:eastAsia="Arial" w:hAnsi="Arial"/>
                <w:b/>
                <w:bCs/>
                <w:i/>
                <w:iCs/>
                <w:color w:val="59687E"/>
                <w:sz w:val="18"/>
                <w:szCs w:val="18"/>
              </w:rPr>
              <w:t xml:space="preserve">[M-04]</w:t>
            </w:r>
          </w:p>
        </w:tc>
        <w:tc>
          <w:tcPr>
            <w:tcW w:type="dxa" w:w="19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20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3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10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126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bl>
    <w:p>
      <w:pPr>
        <w:pBdr>
          <w:bottom w:val="single" w:color="C9D6F2" w:sz="6" w:space="4"/>
        </w:pBdr>
        <w:spacing w:after="100" w:before="280"/>
      </w:pPr>
      <w:r>
        <w:rPr>
          <w:rFonts w:ascii="Arial" w:cs="Arial" w:eastAsia="Arial" w:hAnsi="Arial"/>
          <w:b/>
          <w:bCs/>
          <w:color w:val="406BDF"/>
          <w:sz w:val="26"/>
          <w:szCs w:val="26"/>
        </w:rPr>
        <w:t xml:space="preserve">7. Quarterly Board Report Summary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rPr>
          <w:tblHeader/>
        </w:trPr>
        <w:tc>
          <w:tcPr>
            <w:tcW w:type="dxa" w:w="30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Item</w:t>
            </w:r>
          </w:p>
        </w:tc>
        <w:tc>
          <w:tcPr>
            <w:tcW w:type="dxa" w:w="636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Summary</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Reviews completed vs planned</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[X of Y]</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Overall ratings</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[Review: rating]</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High and Medium findings</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[Summary, owners and dates]</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Overdue actions</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[Number and reasons]</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Changes to the plan</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[Any additions or removals, and why]</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Compliance officer's view</w:t>
            </w:r>
          </w:p>
        </w:tc>
        <w:tc>
          <w:tcPr>
            <w:tcW w:type="dxa" w:w="6360"/>
            <w:tcMar>
              <w:top w:type="dxa" w:w="80"/>
              <w:left w:type="dxa" w:w="100"/>
              <w:bottom w:type="dxa" w:w="80"/>
              <w:right w:type="dxa" w:w="100"/>
            </w:tcMar>
          </w:tcPr>
          <w:p>
            <w:r>
              <w:rPr>
                <w:rFonts w:ascii="Arial" w:cs="Arial" w:eastAsia="Arial" w:hAnsi="Arial"/>
                <w:b w:val="false"/>
                <w:bCs w:val="false"/>
                <w:i/>
                <w:iCs/>
                <w:color w:val="59687E"/>
                <w:sz w:val="18"/>
                <w:szCs w:val="18"/>
              </w:rPr>
              <w:t xml:space="preserve">[Overall assessment and concerns]</w:t>
            </w:r>
          </w:p>
        </w:tc>
      </w:tr>
    </w:tbl>
    <w:p>
      <w:pPr>
        <w:pBdr>
          <w:bottom w:val="single" w:color="C9D6F2" w:sz="6" w:space="4"/>
        </w:pBdr>
        <w:spacing w:after="100" w:before="280"/>
      </w:pPr>
      <w:r>
        <w:rPr>
          <w:rFonts w:ascii="Arial" w:cs="Arial" w:eastAsia="Arial" w:hAnsi="Arial"/>
          <w:b/>
          <w:bCs/>
          <w:color w:val="406BDF"/>
          <w:sz w:val="26"/>
          <w:szCs w:val="26"/>
        </w:rPr>
        <w:t xml:space="preserve">8. Sign-Off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180"/>
        <w:gridCol w:w="3180"/>
      </w:tblGrid>
      <w:tr>
        <w:trPr>
          <w:tblHeader/>
        </w:trPr>
        <w:tc>
          <w:tcPr>
            <w:tcW w:type="dxa" w:w="300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Role</w:t>
            </w:r>
          </w:p>
        </w:tc>
        <w:tc>
          <w:tcPr>
            <w:tcW w:type="dxa" w:w="318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Name</w:t>
            </w:r>
          </w:p>
        </w:tc>
        <w:tc>
          <w:tcPr>
            <w:tcW w:type="dxa" w:w="3180"/>
            <w:shd w:fill="071C3C" w:color="auto" w:val="clear"/>
            <w:tcMar>
              <w:top w:type="dxa" w:w="80"/>
              <w:left w:type="dxa" w:w="100"/>
              <w:bottom w:type="dxa" w:w="80"/>
              <w:right w:type="dxa" w:w="100"/>
            </w:tcMar>
          </w:tcPr>
          <w:p>
            <w:r>
              <w:rPr>
                <w:rFonts w:ascii="Arial" w:cs="Arial" w:eastAsia="Arial" w:hAnsi="Arial"/>
                <w:b/>
                <w:bCs/>
                <w:color w:val="FFFFFF"/>
                <w:sz w:val="18"/>
                <w:szCs w:val="18"/>
              </w:rPr>
              <w:t xml:space="preserve">Date</w:t>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Compliance Officer (SMF16)</w:t>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r>
        <w:tc>
          <w:tcPr>
            <w:tcW w:type="dxa" w:w="3000"/>
            <w:shd w:fill="EEF3FC" w:color="auto" w:val="clear"/>
            <w:tcMar>
              <w:top w:type="dxa" w:w="80"/>
              <w:left w:type="dxa" w:w="100"/>
              <w:bottom w:type="dxa" w:w="80"/>
              <w:right w:type="dxa" w:w="100"/>
            </w:tcMar>
          </w:tcPr>
          <w:p>
            <w:r>
              <w:rPr>
                <w:rFonts w:ascii="Arial" w:cs="Arial" w:eastAsia="Arial" w:hAnsi="Arial"/>
                <w:b/>
                <w:bCs/>
                <w:i w:val="false"/>
                <w:iCs w:val="false"/>
                <w:sz w:val="18"/>
                <w:szCs w:val="18"/>
              </w:rPr>
              <w:t xml:space="preserve">Board / Committee Chair</w:t>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c>
          <w:tcPr>
            <w:tcW w:type="dxa" w:w="3180"/>
            <w:tcMar>
              <w:top w:type="dxa" w:w="80"/>
              <w:left w:type="dxa" w:w="100"/>
              <w:bottom w:type="dxa" w:w="80"/>
              <w:right w:type="dxa" w:w="100"/>
            </w:tcMar>
          </w:tcPr>
          <w:p>
            <w:r>
              <w:rPr>
                <w:rFonts w:ascii="Arial" w:cs="Arial" w:eastAsia="Arial" w:hAnsi="Arial"/>
                <w:b w:val="false"/>
                <w:bCs w:val="false"/>
                <w:i w:val="false"/>
                <w:iCs w:val="false"/>
                <w:sz w:val="18"/>
                <w:szCs w:val="18"/>
              </w:rPr>
              <w:t xml:space="preserve"/>
            </w:r>
          </w:p>
        </w:tc>
      </w:tr>
    </w:tbl>
    <w:p>
      <w:pPr>
        <w:spacing w:after="80"/>
      </w:pPr>
    </w:p>
    <w:p>
      <w:pPr>
        <w:spacing w:after="120" w:line="276"/>
      </w:pPr>
      <w:r>
        <w:rPr>
          <w:rFonts w:ascii="Arial" w:cs="Arial" w:eastAsia="Arial" w:hAnsi="Arial"/>
          <w:i/>
          <w:iCs/>
          <w:color w:val="59687E"/>
          <w:sz w:val="18"/>
          <w:szCs w:val="18"/>
        </w:rPr>
        <w:t xml:space="preserve">Guidance: smfcapital.co.uk/compliance-monitoring-explained/ . Need a compliance officer who can run monitoring? smfcapital.co.uk/compliance-officer-recruitment-smf16/</w:t>
      </w:r>
    </w:p>
    <w:sectPr>
      <w:headerReference w:type="default" r:id="rId7"/>
      <w:footerReference w:type="default" r:id="rId8"/>
      <w:pgSz w:w="11906" w:h="16838" w:orient="portrait"/>
      <w:pgMar w:top="11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9687E"/>
        <w:sz w:val="14"/>
        <w:szCs w:val="14"/>
      </w:rPr>
      <w:t xml:space="preserve">Compliance Monitoring Plan Template. Free template from SMF Capital. General guidance only, not legal or regulatory advice. 0203 745 0239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59687E"/>
        <w:sz w:val="16"/>
        <w:szCs w:val="16"/>
      </w:rPr>
      <w:t xml:space="preserve">SMF Capital  |  smfcapital.co.uk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2026-10-25T03:19:55.195Z</dcterms:created>
  <dcterms:modified xsi:type="dcterms:W3CDTF">2026-10-25T03:19:55.195Z</dcterms:modified>
</cp:coreProperties>
</file>

<file path=docProps/custom.xml><?xml version="1.0" encoding="utf-8"?>
<Properties xmlns="http://schemas.openxmlformats.org/officeDocument/2006/custom-properties" xmlns:vt="http://schemas.openxmlformats.org/officeDocument/2006/docPropsVTypes"/>
</file>