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120"/>
      </w:pPr>
      <w:r>
        <w:rPr>
          <w:rFonts w:ascii="Arial" w:cs="Arial" w:eastAsia="Arial" w:hAnsi="Arial"/>
          <w:b/>
          <w:bCs/>
          <w:color w:val="071C3C"/>
          <w:sz w:val="34"/>
          <w:szCs w:val="34"/>
        </w:rPr>
        <w:t xml:space="preserve">Board Skills Matrix Template</w:t>
      </w:r>
    </w:p>
    <w:p>
      <w:pPr>
        <w:spacing w:after="120"/>
      </w:pPr>
      <w:r>
        <w:rPr>
          <w:rFonts w:ascii="Arial" w:cs="Arial" w:eastAsia="Arial" w:hAnsi="Arial"/>
          <w:color w:val="59687E"/>
          <w:sz w:val="21"/>
          <w:szCs w:val="21"/>
        </w:rPr>
        <w:t xml:space="preserve">A board skills matrix template for FCA and PRA-regulated firms, covering skills, experience, independence, tenure and gaps.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How to use this template: list each board member, rate their experience in each area, then use the summary to identify gaps against the firm's strategy and risks. Rating guide: 3 = deep expertise (has led in this area), 2 = solid working knowledge, 1 = basic awareness, 0 = none. Adapt the areas to your firm. Delete guidance notes before finalising.</w:t>
      </w:r>
    </w:p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1. Board composition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50"/>
        <w:gridCol w:w="1650"/>
        <w:gridCol w:w="1600"/>
        <w:gridCol w:w="1450"/>
        <w:gridCol w:w="1300"/>
        <w:gridCol w:w="1476"/>
      </w:tblGrid>
      <w:tr>
        <w:trPr>
          <w:tblHeader/>
        </w:trP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SMF held (if any)</w:t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Independent?</w:t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Appointed</w:t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Term ends</w:t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Chair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SMF9</w:t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Chief Executive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SMF1</w:t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No</w:t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Senior Independent Director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SMF14 (if applicable)</w:t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Yes</w:t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2. Skills and experience matrix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Add one column per board member (initials). Rate each area 0–3. Add or remove areas to reflect the firm's business.</w:t>
      </w:r>
    </w:p>
    <w:tbl>
      <w:tblPr>
        <w:tblW w:type="dxa" w:w="88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6"/>
        <w:gridCol w:w="700"/>
        <w:gridCol w:w="700"/>
        <w:gridCol w:w="700"/>
        <w:gridCol w:w="700"/>
        <w:gridCol w:w="700"/>
        <w:gridCol w:w="700"/>
        <w:gridCol w:w="700"/>
        <w:gridCol w:w="900"/>
      </w:tblGrid>
      <w:tr>
        <w:trPr>
          <w:tblHeader/>
        </w:trP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 / experience area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</w:t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Board total</w:t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Financial services regulation (FCA / PRA)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Risk management and risk appetite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Financial reporting and audit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Capital, liquidity and prudential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Conduct, Consumer Duty and customer outcomes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Financial crime and sanctions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Technology, cyber and operational resilience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Outsourcing and third-party oversight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The firm's sector and products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Strategy and growth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Remuneration and people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Governance and board leadership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Transactions and M&amp;A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Sustainability and climate risk</w:t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3. Gap analysis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200"/>
        <w:gridCol w:w="2400"/>
        <w:gridCol w:w="2026"/>
      </w:tblGrid>
      <w:tr>
        <w:trPr>
          <w:tblHeader/>
        </w:trPr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Current coverage (strong / adequate / weak)</w:t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Why it matters for our strategy and risks</w:t>
            </w:r>
          </w:p>
        </w:tc>
        <w:tc>
          <w:tcPr>
            <w:tcW w:type="dxa" w:w="2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</w:tr>
      <w:tr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4. Committee coverage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2300"/>
        <w:gridCol w:w="1900"/>
        <w:gridCol w:w="1726"/>
      </w:tblGrid>
      <w:tr>
        <w:trPr>
          <w:tblHeader/>
        </w:trP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Committee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Chair</w:t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Relevant expertise of chair</w:t>
            </w:r>
          </w:p>
        </w:tc>
        <w:tc>
          <w:tcPr>
            <w:tcW w:type="dxa" w:w="1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Members</w:t>
            </w:r>
          </w:p>
        </w:tc>
        <w:tc>
          <w:tcPr>
            <w:tcW w:type="dxa" w:w="17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Gaps</w:t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Audit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Risk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Remuneration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Nomination</w:t>
            </w:r>
          </w:p>
        </w:tc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5. Succession and term planning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300"/>
        <w:gridCol w:w="1500"/>
        <w:gridCol w:w="2300"/>
        <w:gridCol w:w="2126"/>
      </w:tblGrid>
      <w:tr>
        <w:trPr>
          <w:tblHeader/>
        </w:trPr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Board member</w:t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Term ends</w:t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Likely to continue?</w:t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Skills lost on departure</w:t>
            </w:r>
          </w:p>
        </w:tc>
        <w:tc>
          <w:tcPr>
            <w:tcW w:type="dxa" w:w="21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Successor plan</w:t>
            </w:r>
          </w:p>
        </w:tc>
      </w:tr>
      <w:tr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1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6. Actions agreed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800"/>
        <w:gridCol w:w="1500"/>
        <w:gridCol w:w="1526"/>
      </w:tblGrid>
      <w:tr>
        <w:trPr>
          <w:tblHeader/>
        </w:trP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Deadline</w:t>
            </w:r>
          </w:p>
        </w:tc>
        <w:tc>
          <w:tcPr>
            <w:tcW w:type="dxa" w:w="1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7. Review and approval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Prepared by and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Reviewed by nomination committee (date)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Approved by board (date)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Next review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Checklist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Every board member assessed honestly, including the chair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Areas reflect the firm's actual strategy, risks and regulators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Independence and tenure recorded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Committee chairs have the expertise their committee needs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Gaps translated into specific actions (training, adviser, new appointment)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Succession planned for chair and committee chairs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Matrix reviewed at least annually and before every board appointment</w:t>
      </w:r>
    </w:p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687E"/>
        <w:sz w:val="15"/>
        <w:szCs w:val="15"/>
      </w:rPr>
      <w:t xml:space="preserve">Template provided by SMF Capital (smfcapital.co.uk) for general guidance only. Not legal or regulatory advice.  Page </w:t>
    </w:r>
    <w:r>
      <w:rPr>
        <w:rFonts w:ascii="Arial" w:cs="Arial" w:eastAsia="Arial" w:hAnsi="Arial"/>
        <w:color w:val="59687E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9687E"/>
        <w:sz w:val="16"/>
        <w:szCs w:val="16"/>
      </w:rPr>
      <w:t xml:space="preserve">SMF Capital  |  Board Skills Matrix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rFonts w:ascii="Arial" w:cs="Arial" w:eastAsia="Arial" w:hAnsi="Arial"/>
      <w:b/>
      <w:bCs/>
      <w:color w:val="071C3C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71C3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2026-10-02T20:10:29.870Z</dcterms:created>
  <dcterms:modified xsi:type="dcterms:W3CDTF">2026-10-02T20:10:29.873Z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